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54" w:rsidRPr="00043F87" w:rsidRDefault="00335954" w:rsidP="0033595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43F87">
        <w:rPr>
          <w:rFonts w:asciiTheme="majorBidi" w:hAnsiTheme="majorBidi" w:cstheme="majorBidi"/>
          <w:b/>
          <w:bCs/>
          <w:sz w:val="40"/>
          <w:szCs w:val="40"/>
        </w:rPr>
        <w:t>Antidépresseurs</w:t>
      </w:r>
    </w:p>
    <w:p w:rsidR="00335954" w:rsidRDefault="00335954" w:rsidP="0033595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35954" w:rsidRPr="008F5FD2" w:rsidRDefault="00335954" w:rsidP="0033595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F5FD2">
        <w:rPr>
          <w:rFonts w:asciiTheme="majorBidi" w:hAnsiTheme="majorBidi" w:cstheme="majorBidi"/>
          <w:b/>
          <w:bCs/>
          <w:sz w:val="28"/>
          <w:szCs w:val="28"/>
        </w:rPr>
        <w:t>Objectifs du cours</w:t>
      </w:r>
    </w:p>
    <w:p w:rsidR="00043F87" w:rsidRPr="00043F87" w:rsidRDefault="00043F87" w:rsidP="0004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b/>
          <w:bCs/>
          <w:sz w:val="24"/>
          <w:szCs w:val="24"/>
        </w:rPr>
        <w:t>1. Connaissances fondamentales</w:t>
      </w:r>
      <w:bookmarkStart w:id="0" w:name="_GoBack"/>
      <w:bookmarkEnd w:id="0"/>
    </w:p>
    <w:p w:rsidR="00043F87" w:rsidRPr="00043F87" w:rsidRDefault="00043F87" w:rsidP="00043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sz w:val="24"/>
          <w:szCs w:val="24"/>
        </w:rPr>
        <w:t>Définir la dépression et comprendre sa physiopathologie (déséquilibre des neurotransmetteurs).</w:t>
      </w:r>
    </w:p>
    <w:p w:rsidR="00043F87" w:rsidRPr="00043F87" w:rsidRDefault="00043F87" w:rsidP="00043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sz w:val="24"/>
          <w:szCs w:val="24"/>
        </w:rPr>
        <w:t>Expliquer le rôle des neurotransmetteurs (5HT, NA, DA) dans les troubles dépressifs.</w:t>
      </w:r>
    </w:p>
    <w:p w:rsidR="00043F87" w:rsidRPr="00043F87" w:rsidRDefault="00043F87" w:rsidP="0004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b/>
          <w:bCs/>
          <w:sz w:val="24"/>
          <w:szCs w:val="24"/>
        </w:rPr>
        <w:t>2. Classification pharmacologique</w:t>
      </w:r>
    </w:p>
    <w:p w:rsidR="00043F87" w:rsidRPr="00043F87" w:rsidRDefault="00043F87" w:rsidP="00043F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sz w:val="24"/>
          <w:szCs w:val="24"/>
        </w:rPr>
        <w:t>Classer les différents antidépresseurs :</w:t>
      </w:r>
    </w:p>
    <w:p w:rsidR="00043F87" w:rsidRPr="00043F87" w:rsidRDefault="00043F87" w:rsidP="00043F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sz w:val="24"/>
          <w:szCs w:val="24"/>
        </w:rPr>
        <w:t>Tricycliques (ATC)</w:t>
      </w:r>
    </w:p>
    <w:p w:rsidR="00043F87" w:rsidRPr="00043F87" w:rsidRDefault="00043F87" w:rsidP="00043F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sz w:val="24"/>
          <w:szCs w:val="24"/>
        </w:rPr>
        <w:t>ISRS (inhibiteurs sélectifs de la recapture de la sérotonine)</w:t>
      </w:r>
    </w:p>
    <w:p w:rsidR="00043F87" w:rsidRPr="00043F87" w:rsidRDefault="00043F87" w:rsidP="00043F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sz w:val="24"/>
          <w:szCs w:val="24"/>
        </w:rPr>
        <w:t>IRSNA (inhibiteurs de la recapture de la sérotonine et noradrénaline)</w:t>
      </w:r>
    </w:p>
    <w:p w:rsidR="00043F87" w:rsidRPr="00043F87" w:rsidRDefault="00043F87" w:rsidP="00043F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sz w:val="24"/>
          <w:szCs w:val="24"/>
        </w:rPr>
        <w:t>IMAO (inhibiteurs de la monoamine oxydase)</w:t>
      </w:r>
    </w:p>
    <w:p w:rsidR="00043F87" w:rsidRPr="00043F87" w:rsidRDefault="00043F87" w:rsidP="00043F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sz w:val="24"/>
          <w:szCs w:val="24"/>
        </w:rPr>
        <w:t>Antidépresseurs atypiques et plantes médicinales (ex. : millepertuis)</w:t>
      </w:r>
    </w:p>
    <w:p w:rsidR="00043F87" w:rsidRPr="00043F87" w:rsidRDefault="00043F87" w:rsidP="0004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b/>
          <w:bCs/>
          <w:sz w:val="24"/>
          <w:szCs w:val="24"/>
        </w:rPr>
        <w:t>3. Mécanismes d’action</w:t>
      </w:r>
    </w:p>
    <w:p w:rsidR="00043F87" w:rsidRPr="00043F87" w:rsidRDefault="00043F87" w:rsidP="00043F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sz w:val="24"/>
          <w:szCs w:val="24"/>
        </w:rPr>
        <w:t>Décrire le mode d’action de chaque classe d’antidépresseurs sur la transmission synaptique.</w:t>
      </w:r>
    </w:p>
    <w:p w:rsidR="00043F87" w:rsidRPr="00043F87" w:rsidRDefault="00043F87" w:rsidP="0004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b/>
          <w:bCs/>
          <w:sz w:val="24"/>
          <w:szCs w:val="24"/>
        </w:rPr>
        <w:t>4. Indications thérapeutiques</w:t>
      </w:r>
    </w:p>
    <w:p w:rsidR="00043F87" w:rsidRPr="00043F87" w:rsidRDefault="00043F87" w:rsidP="00043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sz w:val="24"/>
          <w:szCs w:val="24"/>
        </w:rPr>
        <w:t>Identifier les indications psychiatriques (dépression, troubles anxieux, TOC…) et non psychiatriques (douleurs chroniques, énurésie…).</w:t>
      </w:r>
    </w:p>
    <w:p w:rsidR="00043F87" w:rsidRPr="00043F87" w:rsidRDefault="00043F87" w:rsidP="0004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b/>
          <w:bCs/>
          <w:sz w:val="24"/>
          <w:szCs w:val="24"/>
        </w:rPr>
        <w:t>5. Effets indésirables et risques</w:t>
      </w:r>
    </w:p>
    <w:p w:rsidR="00043F87" w:rsidRPr="00043F87" w:rsidRDefault="00043F87" w:rsidP="00043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sz w:val="24"/>
          <w:szCs w:val="24"/>
        </w:rPr>
        <w:t>Reconnaître les effets indésirables fréquents par classe.</w:t>
      </w:r>
    </w:p>
    <w:p w:rsidR="00043F87" w:rsidRPr="00043F87" w:rsidRDefault="00043F87" w:rsidP="00043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sz w:val="24"/>
          <w:szCs w:val="24"/>
        </w:rPr>
        <w:t>Expliquer les précautions d’emploi et les contre-indications (ex. : glaucome, troubles cardiaques, interactions médicamenteuses).</w:t>
      </w:r>
    </w:p>
    <w:p w:rsidR="00043F87" w:rsidRPr="00043F87" w:rsidRDefault="00043F87" w:rsidP="00043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b/>
          <w:bCs/>
          <w:sz w:val="24"/>
          <w:szCs w:val="24"/>
        </w:rPr>
        <w:t>6. Bon usage et surveillance</w:t>
      </w:r>
    </w:p>
    <w:p w:rsidR="00043F87" w:rsidRPr="00043F87" w:rsidRDefault="00043F87" w:rsidP="00043F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sz w:val="24"/>
          <w:szCs w:val="24"/>
        </w:rPr>
        <w:t>Discuter de la stratégie de prescription (choix, durée minimale, suivi).</w:t>
      </w:r>
    </w:p>
    <w:p w:rsidR="00043F87" w:rsidRPr="00043F87" w:rsidRDefault="00043F87" w:rsidP="00043F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sz w:val="24"/>
          <w:szCs w:val="24"/>
        </w:rPr>
        <w:t>Prévenir les interactions médicamenteuses graves (notamment syndrome sérotoninergique).</w:t>
      </w:r>
    </w:p>
    <w:p w:rsidR="00043F87" w:rsidRPr="00043F87" w:rsidRDefault="00043F87" w:rsidP="00043F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F87">
        <w:rPr>
          <w:rFonts w:ascii="Times New Roman" w:eastAsia="Times New Roman" w:hAnsi="Times New Roman" w:cs="Times New Roman"/>
          <w:sz w:val="24"/>
          <w:szCs w:val="24"/>
        </w:rPr>
        <w:t>Conseiller le patient sur l’importance de l’observance et de la durée du traitement.</w:t>
      </w:r>
    </w:p>
    <w:p w:rsidR="00C0006A" w:rsidRDefault="00C0006A"/>
    <w:sectPr w:rsidR="00C00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6418"/>
    <w:multiLevelType w:val="multilevel"/>
    <w:tmpl w:val="71DC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70558"/>
    <w:multiLevelType w:val="multilevel"/>
    <w:tmpl w:val="634C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B2A4E"/>
    <w:multiLevelType w:val="multilevel"/>
    <w:tmpl w:val="75B4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D7304"/>
    <w:multiLevelType w:val="multilevel"/>
    <w:tmpl w:val="76B4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D6872"/>
    <w:multiLevelType w:val="multilevel"/>
    <w:tmpl w:val="4BFE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649DF"/>
    <w:multiLevelType w:val="hybridMultilevel"/>
    <w:tmpl w:val="1F1005A0"/>
    <w:lvl w:ilvl="0" w:tplc="D4182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C09DB"/>
    <w:multiLevelType w:val="multilevel"/>
    <w:tmpl w:val="8946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54"/>
    <w:rsid w:val="00043F87"/>
    <w:rsid w:val="00335954"/>
    <w:rsid w:val="00C0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B7433-7CE6-4E54-8E72-8253A0D5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954"/>
  </w:style>
  <w:style w:type="paragraph" w:styleId="Titre3">
    <w:name w:val="heading 3"/>
    <w:basedOn w:val="Normal"/>
    <w:link w:val="Titre3Car"/>
    <w:uiPriority w:val="9"/>
    <w:qFormat/>
    <w:rsid w:val="00043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595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43F8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043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2025-04-20T10:19:00Z</dcterms:created>
  <dcterms:modified xsi:type="dcterms:W3CDTF">2025-04-21T13:49:00Z</dcterms:modified>
</cp:coreProperties>
</file>