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1A" w:rsidRPr="00DE791A" w:rsidRDefault="00DE791A" w:rsidP="00DE79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E791A">
        <w:rPr>
          <w:rFonts w:ascii="Times New Roman" w:eastAsia="Times New Roman" w:hAnsi="Times New Roman" w:cs="Times New Roman"/>
          <w:b/>
          <w:bCs/>
          <w:sz w:val="36"/>
          <w:szCs w:val="36"/>
        </w:rPr>
        <w:t>Traitement de l’insomnie</w:t>
      </w:r>
    </w:p>
    <w:p w:rsidR="00DE791A" w:rsidRPr="00DE791A" w:rsidRDefault="00DE791A" w:rsidP="00DE79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791A">
        <w:rPr>
          <w:rFonts w:ascii="Times New Roman" w:eastAsia="Times New Roman" w:hAnsi="Times New Roman" w:cs="Times New Roman"/>
          <w:b/>
          <w:bCs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bjectifs pédagogiques </w:t>
      </w:r>
      <w:r w:rsidRPr="00DE791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E791A" w:rsidRPr="00DE791A" w:rsidRDefault="00DE791A" w:rsidP="00DE7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sz w:val="24"/>
          <w:szCs w:val="24"/>
        </w:rPr>
        <w:t>À l’issue de ce cours, l’étudiant sera capable de :</w:t>
      </w:r>
    </w:p>
    <w:p w:rsidR="00DE791A" w:rsidRPr="00DE791A" w:rsidRDefault="00DE791A" w:rsidP="00DE791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b/>
          <w:bCs/>
          <w:sz w:val="24"/>
          <w:szCs w:val="24"/>
        </w:rPr>
        <w:t>Définir l’insomnie</w:t>
      </w:r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 et en distinguer les différents types (aiguë, chronique, d’endormissement, de maintien, de fin de nuit).</w:t>
      </w:r>
    </w:p>
    <w:p w:rsidR="00DE791A" w:rsidRPr="00DE791A" w:rsidRDefault="00DE791A" w:rsidP="00DE791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b/>
          <w:bCs/>
          <w:sz w:val="24"/>
          <w:szCs w:val="24"/>
        </w:rPr>
        <w:t>Identifier les causes et les facteurs aggravants</w:t>
      </w:r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 de l’insomnie, incluant les troubles psychiatriques, les pathologies associées et les causes iatrogènes.</w:t>
      </w:r>
    </w:p>
    <w:p w:rsidR="00DE791A" w:rsidRPr="00DE791A" w:rsidRDefault="00DE791A" w:rsidP="00DE791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b/>
          <w:bCs/>
          <w:sz w:val="24"/>
          <w:szCs w:val="24"/>
        </w:rPr>
        <w:t>Connaître les outils diagnostiques</w:t>
      </w:r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 disponibles, notamment l’agenda du sommeil, les questionnaires (ex. </w:t>
      </w:r>
      <w:proofErr w:type="spellStart"/>
      <w:r w:rsidRPr="00DE791A">
        <w:rPr>
          <w:rFonts w:ascii="Times New Roman" w:eastAsia="Times New Roman" w:hAnsi="Times New Roman" w:cs="Times New Roman"/>
          <w:sz w:val="24"/>
          <w:szCs w:val="24"/>
        </w:rPr>
        <w:t>Épworth</w:t>
      </w:r>
      <w:proofErr w:type="spellEnd"/>
      <w:r w:rsidRPr="00DE791A">
        <w:rPr>
          <w:rFonts w:ascii="Times New Roman" w:eastAsia="Times New Roman" w:hAnsi="Times New Roman" w:cs="Times New Roman"/>
          <w:sz w:val="24"/>
          <w:szCs w:val="24"/>
        </w:rPr>
        <w:t>), l’</w:t>
      </w:r>
      <w:proofErr w:type="spellStart"/>
      <w:r w:rsidRPr="00DE791A">
        <w:rPr>
          <w:rFonts w:ascii="Times New Roman" w:eastAsia="Times New Roman" w:hAnsi="Times New Roman" w:cs="Times New Roman"/>
          <w:sz w:val="24"/>
          <w:szCs w:val="24"/>
        </w:rPr>
        <w:t>actimétrie</w:t>
      </w:r>
      <w:proofErr w:type="spellEnd"/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 et la </w:t>
      </w:r>
      <w:proofErr w:type="spellStart"/>
      <w:r w:rsidRPr="00DE791A">
        <w:rPr>
          <w:rFonts w:ascii="Times New Roman" w:eastAsia="Times New Roman" w:hAnsi="Times New Roman" w:cs="Times New Roman"/>
          <w:sz w:val="24"/>
          <w:szCs w:val="24"/>
        </w:rPr>
        <w:t>polysomnographie</w:t>
      </w:r>
      <w:proofErr w:type="spellEnd"/>
      <w:r w:rsidRPr="00DE79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91A" w:rsidRPr="00DE791A" w:rsidRDefault="00DE791A" w:rsidP="00DE791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b/>
          <w:bCs/>
          <w:sz w:val="24"/>
          <w:szCs w:val="24"/>
        </w:rPr>
        <w:t>Évaluer la sévérité de l’insomnie</w:t>
      </w:r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 et son retentissement sur la qualité de vie du patient.</w:t>
      </w:r>
    </w:p>
    <w:p w:rsidR="00DE791A" w:rsidRPr="00DE791A" w:rsidRDefault="00DE791A" w:rsidP="00DE791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b/>
          <w:bCs/>
          <w:sz w:val="24"/>
          <w:szCs w:val="24"/>
        </w:rPr>
        <w:t>Proposer une stratégie thérapeutique adaptée</w:t>
      </w:r>
      <w:r w:rsidRPr="00DE791A">
        <w:rPr>
          <w:rFonts w:ascii="Times New Roman" w:eastAsia="Times New Roman" w:hAnsi="Times New Roman" w:cs="Times New Roman"/>
          <w:sz w:val="24"/>
          <w:szCs w:val="24"/>
        </w:rPr>
        <w:t>, incluant :</w:t>
      </w:r>
      <w:bookmarkStart w:id="0" w:name="_GoBack"/>
      <w:bookmarkEnd w:id="0"/>
    </w:p>
    <w:p w:rsidR="00DE791A" w:rsidRPr="00DE791A" w:rsidRDefault="00DE791A" w:rsidP="00DE791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sz w:val="24"/>
          <w:szCs w:val="24"/>
        </w:rPr>
        <w:t>les mesures d’hygiène du sommeil,</w:t>
      </w:r>
    </w:p>
    <w:p w:rsidR="00DE791A" w:rsidRPr="00DE791A" w:rsidRDefault="00DE791A" w:rsidP="00DE791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DE791A">
        <w:rPr>
          <w:rFonts w:ascii="Times New Roman" w:eastAsia="Times New Roman" w:hAnsi="Times New Roman" w:cs="Times New Roman"/>
          <w:sz w:val="24"/>
          <w:szCs w:val="24"/>
        </w:rPr>
        <w:t>chronobiothérapie</w:t>
      </w:r>
      <w:proofErr w:type="spellEnd"/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 (photothérapie, mélatonine),</w:t>
      </w:r>
    </w:p>
    <w:p w:rsidR="00DE791A" w:rsidRPr="00DE791A" w:rsidRDefault="00DE791A" w:rsidP="00DE791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sz w:val="24"/>
          <w:szCs w:val="24"/>
        </w:rPr>
        <w:t>les traitements médicamenteux (hypnotiques, antihistaminiques, antidépresseurs),</w:t>
      </w:r>
    </w:p>
    <w:p w:rsidR="00DE791A" w:rsidRPr="00DE791A" w:rsidRDefault="00DE791A" w:rsidP="00DE791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sz w:val="24"/>
          <w:szCs w:val="24"/>
        </w:rPr>
        <w:t>le choix des traitements selon le terrain (enfants, personnes âgées, femmes enceintes, pathologies associées).</w:t>
      </w:r>
    </w:p>
    <w:p w:rsidR="00DE791A" w:rsidRPr="00DE791A" w:rsidRDefault="00DE791A" w:rsidP="00DE791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b/>
          <w:bCs/>
          <w:sz w:val="24"/>
          <w:szCs w:val="24"/>
        </w:rPr>
        <w:t>Reconnaître les limites des traitements hypnotiques</w:t>
      </w:r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 (effets secondaires, tolérance, dépendance) et savoir planifier un </w:t>
      </w:r>
      <w:r w:rsidRPr="00DE791A">
        <w:rPr>
          <w:rFonts w:ascii="Times New Roman" w:eastAsia="Times New Roman" w:hAnsi="Times New Roman" w:cs="Times New Roman"/>
          <w:b/>
          <w:bCs/>
          <w:sz w:val="24"/>
          <w:szCs w:val="24"/>
        </w:rPr>
        <w:t>sevrage progressif</w:t>
      </w:r>
      <w:r w:rsidRPr="00DE79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91A" w:rsidRPr="00DE791A" w:rsidRDefault="00DE791A" w:rsidP="00DE791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91A">
        <w:rPr>
          <w:rFonts w:ascii="Times New Roman" w:eastAsia="Times New Roman" w:hAnsi="Times New Roman" w:cs="Times New Roman"/>
          <w:b/>
          <w:bCs/>
          <w:sz w:val="24"/>
          <w:szCs w:val="24"/>
        </w:rPr>
        <w:t>Participer à l’éducation du patient</w:t>
      </w:r>
      <w:r w:rsidRPr="00DE791A">
        <w:rPr>
          <w:rFonts w:ascii="Times New Roman" w:eastAsia="Times New Roman" w:hAnsi="Times New Roman" w:cs="Times New Roman"/>
          <w:sz w:val="24"/>
          <w:szCs w:val="24"/>
        </w:rPr>
        <w:t xml:space="preserve"> et à son implication dans la gestion de son sommeil.</w:t>
      </w:r>
    </w:p>
    <w:p w:rsidR="00F20489" w:rsidRDefault="00F20489"/>
    <w:sectPr w:rsidR="00F2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0116E"/>
    <w:multiLevelType w:val="multilevel"/>
    <w:tmpl w:val="AB62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A"/>
    <w:rsid w:val="00DE791A"/>
    <w:rsid w:val="00F2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87C48-DBC9-4691-B1BD-D8C24C89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E7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E791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E7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2025-04-23T12:35:00Z</dcterms:created>
  <dcterms:modified xsi:type="dcterms:W3CDTF">2025-04-23T12:37:00Z</dcterms:modified>
</cp:coreProperties>
</file>