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1F" w:rsidRDefault="0090083B" w:rsidP="00C0300D">
      <w:pPr>
        <w:jc w:val="center"/>
      </w:pPr>
      <w:r>
        <w:rPr>
          <w:noProof/>
          <w:lang w:eastAsia="fr-FR"/>
        </w:rPr>
        <w:pict>
          <v:roundrect id="_x0000_s1026" style="position:absolute;left:0;text-align:left;margin-left:-52.1pt;margin-top:37.15pt;width:132pt;height:39pt;z-index:251658240" arcsize="10923f">
            <v:textbox>
              <w:txbxContent>
                <w:p w:rsidR="00C0300D" w:rsidRDefault="00C0300D" w:rsidP="00C0300D">
                  <w:pPr>
                    <w:spacing w:after="0" w:line="240" w:lineRule="auto"/>
                  </w:pPr>
                  <w:r>
                    <w:t xml:space="preserve">DR. B. FANDI </w:t>
                  </w:r>
                </w:p>
                <w:p w:rsidR="00C0300D" w:rsidRDefault="00C0300D" w:rsidP="00C0300D">
                  <w:pPr>
                    <w:spacing w:after="0" w:line="240" w:lineRule="auto"/>
                  </w:pPr>
                  <w:r>
                    <w:t xml:space="preserve">UNIVERSITE DE TLEMCEN </w:t>
                  </w:r>
                </w:p>
                <w:p w:rsidR="00C0300D" w:rsidRDefault="00C0300D" w:rsidP="00C0300D">
                  <w:pPr>
                    <w:spacing w:after="0"/>
                  </w:pPr>
                </w:p>
              </w:txbxContent>
            </v:textbox>
          </v:roundrect>
        </w:pict>
      </w:r>
      <w:r w:rsidR="00C0300D" w:rsidRPr="00C0300D">
        <w:rPr>
          <w:noProof/>
          <w:lang w:eastAsia="fr-FR"/>
        </w:rPr>
        <w:drawing>
          <wp:inline distT="0" distB="0" distL="0" distR="0">
            <wp:extent cx="707390" cy="799572"/>
            <wp:effectExtent l="0" t="0" r="0" b="635"/>
            <wp:docPr id="5" name="Image 1" descr="https://upload.wikimedia.org/wikipedia/commons/thumb/5/5a/Logo-Univ_Tlemcen.png/220px-Logo-Univ_Tlem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a/Logo-Univ_Tlemcen.png/220px-Logo-Univ_Tlemcen.png"/>
                    <pic:cNvPicPr>
                      <a:picLocks noChangeAspect="1" noChangeArrowheads="1"/>
                    </pic:cNvPicPr>
                  </pic:nvPicPr>
                  <pic:blipFill>
                    <a:blip r:embed="rId7" cstate="print"/>
                    <a:srcRect/>
                    <a:stretch>
                      <a:fillRect/>
                    </a:stretch>
                  </pic:blipFill>
                  <pic:spPr bwMode="auto">
                    <a:xfrm>
                      <a:off x="0" y="0"/>
                      <a:ext cx="733811" cy="829436"/>
                    </a:xfrm>
                    <a:prstGeom prst="rect">
                      <a:avLst/>
                    </a:prstGeom>
                    <a:noFill/>
                    <a:ln w="9525">
                      <a:noFill/>
                      <a:miter lim="800000"/>
                      <a:headEnd/>
                      <a:tailEnd/>
                    </a:ln>
                  </pic:spPr>
                </pic:pic>
              </a:graphicData>
            </a:graphic>
          </wp:inline>
        </w:drawing>
      </w:r>
    </w:p>
    <w:p w:rsidR="007E5333" w:rsidRPr="000A54CD" w:rsidRDefault="007E5333" w:rsidP="007E5333">
      <w:pPr>
        <w:jc w:val="center"/>
        <w:rPr>
          <w:rFonts w:eastAsia="Calibri" w:cstheme="majorBidi"/>
          <w:b/>
          <w:bCs/>
          <w:sz w:val="28"/>
          <w:szCs w:val="28"/>
        </w:rPr>
      </w:pPr>
      <w:r w:rsidRPr="000A54CD">
        <w:rPr>
          <w:rFonts w:eastAsia="Calibri" w:cstheme="majorBidi"/>
          <w:b/>
          <w:bCs/>
          <w:sz w:val="28"/>
          <w:szCs w:val="28"/>
        </w:rPr>
        <w:t>Université Abou Bekr Belkaid - Tlemcen</w:t>
      </w:r>
      <w:r w:rsidRPr="000A54CD">
        <w:rPr>
          <w:rFonts w:eastAsia="Calibri" w:cstheme="majorBidi"/>
          <w:b/>
          <w:bCs/>
          <w:sz w:val="28"/>
          <w:szCs w:val="28"/>
        </w:rPr>
        <w:br/>
        <w:t xml:space="preserve"> Faculté de Médecine (Dr. Benzerdjeb Benouda)</w:t>
      </w:r>
    </w:p>
    <w:p w:rsidR="007E5333" w:rsidRDefault="007E5333" w:rsidP="007E5333">
      <w:pPr>
        <w:jc w:val="center"/>
        <w:rPr>
          <w:rFonts w:cstheme="majorBidi"/>
          <w:b/>
          <w:bCs/>
          <w:sz w:val="28"/>
          <w:szCs w:val="28"/>
        </w:rPr>
      </w:pPr>
      <w:r w:rsidRPr="000A54CD">
        <w:rPr>
          <w:rFonts w:cstheme="majorBidi"/>
          <w:b/>
          <w:bCs/>
          <w:sz w:val="28"/>
          <w:szCs w:val="28"/>
        </w:rPr>
        <w:t>Unité d’enseignement gastro-entérologie</w:t>
      </w:r>
    </w:p>
    <w:p w:rsidR="007E5333" w:rsidRDefault="0090083B" w:rsidP="007E5333">
      <w:pPr>
        <w:jc w:val="center"/>
        <w:rPr>
          <w:rFonts w:cstheme="majorBidi"/>
          <w:b/>
          <w:bCs/>
          <w:sz w:val="28"/>
          <w:szCs w:val="28"/>
        </w:rPr>
      </w:pPr>
      <w:r w:rsidRPr="0090083B">
        <w:rPr>
          <w:noProof/>
          <w:lang w:eastAsia="fr-FR"/>
        </w:rPr>
        <w:pict>
          <v:roundrect id="_x0000_s1027" style="position:absolute;left:0;text-align:left;margin-left:90.8pt;margin-top:11.4pt;width:279.35pt;height:51.75pt;z-index:251659264" arcsize="10923f" filled="f">
            <v:textbox>
              <w:txbxContent>
                <w:p w:rsidR="003D2BB7" w:rsidRPr="00041BDE" w:rsidRDefault="00C30B9F" w:rsidP="00C30B9F">
                  <w:pPr>
                    <w:autoSpaceDE w:val="0"/>
                    <w:autoSpaceDN w:val="0"/>
                    <w:adjustRightInd w:val="0"/>
                    <w:spacing w:after="0" w:line="240" w:lineRule="auto"/>
                    <w:jc w:val="center"/>
                    <w:rPr>
                      <w:rFonts w:ascii="Arial" w:hAnsi="Arial" w:cs="Arial"/>
                      <w:b/>
                      <w:bCs/>
                      <w:color w:val="000000" w:themeColor="text1"/>
                      <w:sz w:val="40"/>
                      <w:szCs w:val="40"/>
                    </w:rPr>
                  </w:pPr>
                  <w:r>
                    <w:rPr>
                      <w:rFonts w:ascii="Arial" w:hAnsi="Arial" w:cs="Arial"/>
                      <w:b/>
                      <w:bCs/>
                      <w:color w:val="000000" w:themeColor="text1"/>
                      <w:sz w:val="40"/>
                      <w:szCs w:val="40"/>
                    </w:rPr>
                    <w:t>L’i</w:t>
                  </w:r>
                  <w:r w:rsidR="003D2BB7" w:rsidRPr="00041BDE">
                    <w:rPr>
                      <w:rFonts w:ascii="Arial" w:hAnsi="Arial" w:cs="Arial"/>
                      <w:b/>
                      <w:bCs/>
                      <w:color w:val="000000" w:themeColor="text1"/>
                      <w:sz w:val="40"/>
                      <w:szCs w:val="40"/>
                    </w:rPr>
                    <w:t xml:space="preserve">schémie mésentérique </w:t>
                  </w:r>
                </w:p>
                <w:p w:rsidR="007E5333" w:rsidRDefault="007E5333" w:rsidP="007E5333">
                  <w:pPr>
                    <w:autoSpaceDE w:val="0"/>
                    <w:autoSpaceDN w:val="0"/>
                    <w:adjustRightInd w:val="0"/>
                    <w:spacing w:after="0" w:line="240" w:lineRule="auto"/>
                    <w:jc w:val="center"/>
                    <w:rPr>
                      <w:rFonts w:ascii="Arial" w:hAnsi="Arial" w:cs="Arial"/>
                      <w:color w:val="FFFFFF"/>
                      <w:sz w:val="72"/>
                      <w:szCs w:val="72"/>
                    </w:rPr>
                  </w:pPr>
                  <w:r>
                    <w:rPr>
                      <w:rFonts w:ascii="Arial" w:hAnsi="Arial" w:cs="Arial"/>
                      <w:color w:val="FFFFFF"/>
                      <w:sz w:val="72"/>
                      <w:szCs w:val="72"/>
                    </w:rPr>
                    <w:t>CO 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w:t>
                  </w:r>
                  <w:r w:rsidRPr="00457ACA">
                    <w:rPr>
                      <w:rFonts w:ascii="Arial" w:hAnsi="Arial" w:cs="Arial"/>
                      <w:color w:val="FFFFFF"/>
                      <w:sz w:val="72"/>
                      <w:szCs w:val="72"/>
                    </w:rPr>
                    <w:t xml:space="preserve"> </w:t>
                  </w:r>
                  <w:r>
                    <w:rPr>
                      <w:rFonts w:ascii="Arial" w:hAnsi="Arial" w:cs="Arial"/>
                      <w:color w:val="FFFFFF"/>
                      <w:sz w:val="72"/>
                      <w:szCs w:val="72"/>
                    </w:rPr>
                    <w:t>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VOMISSEMENTSND</w:t>
                  </w:r>
                  <w:r w:rsidRPr="00457ACA">
                    <w:rPr>
                      <w:rFonts w:ascii="Arial" w:hAnsi="Arial" w:cs="Arial"/>
                      <w:color w:val="FFFFFF"/>
                      <w:sz w:val="72"/>
                      <w:szCs w:val="72"/>
                    </w:rPr>
                    <w:t xml:space="preserve"> </w:t>
                  </w:r>
                  <w:r>
                    <w:rPr>
                      <w:rFonts w:ascii="Arial" w:hAnsi="Arial" w:cs="Arial"/>
                      <w:color w:val="FFFFFF"/>
                      <w:sz w:val="72"/>
                      <w:szCs w:val="72"/>
                    </w:rPr>
                    <w:t>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VOMISSEMENTSUITE A TENIR CONDUITE A TENIR DEVANT</w:t>
                  </w:r>
                </w:p>
                <w:p w:rsidR="007E5333" w:rsidRDefault="007E5333" w:rsidP="007E5333">
                  <w:pPr>
                    <w:autoSpaceDE w:val="0"/>
                    <w:autoSpaceDN w:val="0"/>
                    <w:adjustRightInd w:val="0"/>
                    <w:spacing w:after="0" w:line="240" w:lineRule="auto"/>
                    <w:rPr>
                      <w:rFonts w:ascii="Arial" w:hAnsi="Arial" w:cs="Arial"/>
                      <w:color w:val="FFFFFF"/>
                      <w:sz w:val="72"/>
                      <w:szCs w:val="72"/>
                    </w:rPr>
                  </w:pPr>
                  <w:r>
                    <w:rPr>
                      <w:rFonts w:ascii="Arial" w:hAnsi="Arial" w:cs="Arial"/>
                      <w:color w:val="FFFFFF"/>
                      <w:sz w:val="72"/>
                      <w:szCs w:val="72"/>
                    </w:rPr>
                    <w:t>DES VOMISSEMENTSDEVANT</w:t>
                  </w:r>
                </w:p>
                <w:p w:rsidR="007E5333" w:rsidRDefault="007E5333" w:rsidP="007E5333">
                  <w:r>
                    <w:rPr>
                      <w:rFonts w:ascii="Arial" w:hAnsi="Arial" w:cs="Arial"/>
                      <w:color w:val="FFFFFF"/>
                      <w:sz w:val="72"/>
                      <w:szCs w:val="72"/>
                    </w:rPr>
                    <w:t>DES VOMISSEMENTS</w:t>
                  </w:r>
                </w:p>
              </w:txbxContent>
            </v:textbox>
          </v:roundrect>
        </w:pict>
      </w:r>
    </w:p>
    <w:p w:rsidR="00BF671D" w:rsidRDefault="00BF671D" w:rsidP="007E5333">
      <w:pPr>
        <w:jc w:val="center"/>
        <w:rPr>
          <w:rFonts w:cstheme="majorBidi"/>
          <w:b/>
          <w:bCs/>
          <w:sz w:val="28"/>
          <w:szCs w:val="28"/>
        </w:rPr>
      </w:pPr>
    </w:p>
    <w:p w:rsidR="00BF671D" w:rsidRDefault="00BF671D" w:rsidP="007E5333">
      <w:pPr>
        <w:jc w:val="center"/>
        <w:rPr>
          <w:rFonts w:cstheme="majorBidi"/>
          <w:b/>
          <w:bCs/>
          <w:sz w:val="28"/>
          <w:szCs w:val="28"/>
        </w:rPr>
      </w:pPr>
    </w:p>
    <w:p w:rsidR="00BF671D" w:rsidRDefault="00BF671D" w:rsidP="00BF671D">
      <w:pPr>
        <w:tabs>
          <w:tab w:val="left" w:pos="6670"/>
        </w:tabs>
        <w:rPr>
          <w:b/>
          <w:bCs/>
          <w:sz w:val="28"/>
          <w:szCs w:val="28"/>
          <w:u w:val="single"/>
        </w:rPr>
      </w:pPr>
    </w:p>
    <w:p w:rsidR="00BF671D" w:rsidRDefault="00BF671D" w:rsidP="00BF671D">
      <w:pPr>
        <w:tabs>
          <w:tab w:val="left" w:pos="6670"/>
        </w:tabs>
        <w:rPr>
          <w:b/>
          <w:bCs/>
          <w:sz w:val="28"/>
          <w:szCs w:val="28"/>
          <w:u w:val="single"/>
        </w:rPr>
      </w:pPr>
      <w:r w:rsidRPr="00055D8C">
        <w:rPr>
          <w:b/>
          <w:bCs/>
          <w:sz w:val="28"/>
          <w:szCs w:val="28"/>
          <w:u w:val="single"/>
        </w:rPr>
        <w:t xml:space="preserve">Plan : </w:t>
      </w:r>
    </w:p>
    <w:p w:rsidR="00310C14" w:rsidRDefault="00310C14" w:rsidP="00940C65">
      <w:pPr>
        <w:spacing w:after="0"/>
        <w:rPr>
          <w:b/>
          <w:bCs/>
          <w:sz w:val="28"/>
          <w:szCs w:val="28"/>
        </w:rPr>
      </w:pPr>
      <w:r>
        <w:rPr>
          <w:b/>
          <w:bCs/>
          <w:sz w:val="28"/>
          <w:szCs w:val="28"/>
        </w:rPr>
        <w:t>I. Définition</w:t>
      </w:r>
    </w:p>
    <w:p w:rsidR="00940C65" w:rsidRPr="003D00A1" w:rsidRDefault="00940C65" w:rsidP="00940C65">
      <w:pPr>
        <w:pStyle w:val="Default"/>
        <w:rPr>
          <w:sz w:val="28"/>
          <w:szCs w:val="28"/>
        </w:rPr>
      </w:pPr>
      <w:r w:rsidRPr="003D00A1">
        <w:rPr>
          <w:b/>
          <w:bCs/>
          <w:sz w:val="28"/>
          <w:szCs w:val="28"/>
        </w:rPr>
        <w:t xml:space="preserve">II. Intérêts </w:t>
      </w:r>
    </w:p>
    <w:p w:rsidR="00940C65" w:rsidRDefault="00940C65" w:rsidP="002E2606">
      <w:pPr>
        <w:autoSpaceDE w:val="0"/>
        <w:autoSpaceDN w:val="0"/>
        <w:adjustRightInd w:val="0"/>
        <w:spacing w:after="0" w:line="240" w:lineRule="auto"/>
        <w:rPr>
          <w:rFonts w:cs="Times New Roman"/>
          <w:b/>
          <w:bCs/>
          <w:color w:val="000000"/>
          <w:sz w:val="28"/>
          <w:szCs w:val="28"/>
        </w:rPr>
      </w:pPr>
      <w:r w:rsidRPr="003D00A1">
        <w:rPr>
          <w:rFonts w:cs="Times New Roman"/>
          <w:b/>
          <w:bCs/>
          <w:color w:val="000000"/>
          <w:sz w:val="28"/>
          <w:szCs w:val="28"/>
        </w:rPr>
        <w:t xml:space="preserve">III. </w:t>
      </w:r>
      <w:r>
        <w:rPr>
          <w:rFonts w:cs="Times New Roman"/>
          <w:b/>
          <w:bCs/>
          <w:color w:val="000000"/>
          <w:sz w:val="28"/>
          <w:szCs w:val="28"/>
        </w:rPr>
        <w:t>Rappel anatomique</w:t>
      </w:r>
    </w:p>
    <w:p w:rsidR="002E2606" w:rsidRDefault="002E2606" w:rsidP="002E2606">
      <w:pPr>
        <w:autoSpaceDE w:val="0"/>
        <w:autoSpaceDN w:val="0"/>
        <w:adjustRightInd w:val="0"/>
        <w:spacing w:after="0" w:line="240" w:lineRule="auto"/>
        <w:rPr>
          <w:rFonts w:cs="Times New Roman"/>
          <w:b/>
          <w:bCs/>
          <w:color w:val="000000"/>
          <w:sz w:val="28"/>
          <w:szCs w:val="28"/>
        </w:rPr>
      </w:pPr>
      <w:r w:rsidRPr="002E2606">
        <w:rPr>
          <w:rFonts w:cs="Times New Roman"/>
          <w:b/>
          <w:bCs/>
          <w:color w:val="000000"/>
          <w:sz w:val="28"/>
          <w:szCs w:val="28"/>
        </w:rPr>
        <w:t xml:space="preserve">IV. </w:t>
      </w:r>
      <w:r w:rsidRPr="002C72D5">
        <w:rPr>
          <w:rFonts w:cs="Times New Roman"/>
          <w:b/>
          <w:bCs/>
          <w:color w:val="000000"/>
          <w:sz w:val="28"/>
          <w:szCs w:val="28"/>
        </w:rPr>
        <w:t xml:space="preserve">Physiopathologie </w:t>
      </w:r>
    </w:p>
    <w:p w:rsidR="0003780B" w:rsidRDefault="0003780B" w:rsidP="002E2606">
      <w:pPr>
        <w:autoSpaceDE w:val="0"/>
        <w:autoSpaceDN w:val="0"/>
        <w:adjustRightInd w:val="0"/>
        <w:spacing w:after="0" w:line="240" w:lineRule="auto"/>
        <w:rPr>
          <w:rFonts w:cs="Times New Roman"/>
          <w:b/>
          <w:bCs/>
          <w:color w:val="000000"/>
          <w:sz w:val="28"/>
          <w:szCs w:val="28"/>
        </w:rPr>
      </w:pPr>
      <w:r w:rsidRPr="0003780B">
        <w:rPr>
          <w:rFonts w:cs="Times New Roman"/>
          <w:b/>
          <w:bCs/>
          <w:color w:val="000000"/>
          <w:sz w:val="28"/>
          <w:szCs w:val="28"/>
        </w:rPr>
        <w:t xml:space="preserve">V. </w:t>
      </w:r>
      <w:r w:rsidRPr="001B6971">
        <w:rPr>
          <w:rFonts w:cs="Times New Roman"/>
          <w:b/>
          <w:bCs/>
          <w:color w:val="000000"/>
          <w:sz w:val="28"/>
          <w:szCs w:val="28"/>
        </w:rPr>
        <w:t>Etiopathogenie</w:t>
      </w:r>
    </w:p>
    <w:p w:rsidR="00FE0465" w:rsidRDefault="00FE0465" w:rsidP="00FE0465">
      <w:pPr>
        <w:autoSpaceDE w:val="0"/>
        <w:autoSpaceDN w:val="0"/>
        <w:adjustRightInd w:val="0"/>
        <w:spacing w:after="0" w:line="240" w:lineRule="auto"/>
        <w:rPr>
          <w:rFonts w:cs="Times New Roman"/>
          <w:b/>
          <w:bCs/>
          <w:color w:val="000000"/>
          <w:sz w:val="28"/>
          <w:szCs w:val="28"/>
        </w:rPr>
      </w:pPr>
      <w:r w:rsidRPr="00FE0465">
        <w:rPr>
          <w:rFonts w:cs="Times New Roman"/>
          <w:b/>
          <w:bCs/>
          <w:color w:val="000000"/>
          <w:sz w:val="28"/>
          <w:szCs w:val="28"/>
        </w:rPr>
        <w:t xml:space="preserve">VI. </w:t>
      </w:r>
      <w:r w:rsidRPr="00687A07">
        <w:rPr>
          <w:rFonts w:cs="Times New Roman"/>
          <w:b/>
          <w:bCs/>
          <w:color w:val="000000"/>
          <w:sz w:val="28"/>
          <w:szCs w:val="28"/>
        </w:rPr>
        <w:t xml:space="preserve">Diagnostic positif </w:t>
      </w:r>
    </w:p>
    <w:p w:rsidR="00045327" w:rsidRDefault="00045327" w:rsidP="00045327">
      <w:pPr>
        <w:autoSpaceDE w:val="0"/>
        <w:autoSpaceDN w:val="0"/>
        <w:adjustRightInd w:val="0"/>
        <w:spacing w:after="0" w:line="240" w:lineRule="auto"/>
        <w:rPr>
          <w:rFonts w:cs="Times New Roman"/>
          <w:b/>
          <w:bCs/>
          <w:color w:val="000000"/>
          <w:sz w:val="32"/>
          <w:szCs w:val="32"/>
        </w:rPr>
      </w:pPr>
      <w:r w:rsidRPr="00045327">
        <w:rPr>
          <w:rFonts w:cs="Times New Roman"/>
          <w:b/>
          <w:bCs/>
          <w:color w:val="000000"/>
          <w:sz w:val="28"/>
          <w:szCs w:val="28"/>
        </w:rPr>
        <w:t xml:space="preserve">VII. </w:t>
      </w:r>
      <w:r w:rsidRPr="00572E62">
        <w:rPr>
          <w:rFonts w:cs="Times New Roman"/>
          <w:b/>
          <w:bCs/>
          <w:color w:val="000000"/>
          <w:sz w:val="28"/>
          <w:szCs w:val="28"/>
        </w:rPr>
        <w:t>Diagnostic différentiel</w:t>
      </w:r>
      <w:r w:rsidRPr="00572E62">
        <w:rPr>
          <w:rFonts w:cs="Times New Roman"/>
          <w:b/>
          <w:bCs/>
          <w:color w:val="000000"/>
          <w:sz w:val="32"/>
          <w:szCs w:val="32"/>
        </w:rPr>
        <w:t xml:space="preserve"> </w:t>
      </w:r>
    </w:p>
    <w:p w:rsidR="002E4AEB" w:rsidRDefault="002E4AEB" w:rsidP="002E4AEB">
      <w:pPr>
        <w:autoSpaceDE w:val="0"/>
        <w:autoSpaceDN w:val="0"/>
        <w:adjustRightInd w:val="0"/>
        <w:spacing w:after="0" w:line="240" w:lineRule="auto"/>
        <w:rPr>
          <w:rFonts w:cs="Times New Roman"/>
          <w:b/>
          <w:bCs/>
          <w:color w:val="000000"/>
          <w:sz w:val="28"/>
          <w:szCs w:val="28"/>
        </w:rPr>
      </w:pPr>
      <w:r w:rsidRPr="002E4AEB">
        <w:rPr>
          <w:rFonts w:cs="Times New Roman"/>
          <w:b/>
          <w:bCs/>
          <w:color w:val="000000"/>
          <w:sz w:val="28"/>
          <w:szCs w:val="28"/>
        </w:rPr>
        <w:t xml:space="preserve">VIII. </w:t>
      </w:r>
      <w:r w:rsidRPr="009B4FFC">
        <w:rPr>
          <w:rFonts w:cs="Times New Roman"/>
          <w:b/>
          <w:bCs/>
          <w:color w:val="000000"/>
          <w:sz w:val="28"/>
          <w:szCs w:val="28"/>
        </w:rPr>
        <w:t xml:space="preserve">Formes cliniques </w:t>
      </w:r>
    </w:p>
    <w:p w:rsidR="009F3210" w:rsidRPr="002C675C" w:rsidRDefault="009F3210" w:rsidP="009F3210">
      <w:pPr>
        <w:autoSpaceDE w:val="0"/>
        <w:autoSpaceDN w:val="0"/>
        <w:adjustRightInd w:val="0"/>
        <w:spacing w:after="0" w:line="240" w:lineRule="auto"/>
        <w:rPr>
          <w:rFonts w:cs="Times New Roman"/>
          <w:color w:val="000000"/>
          <w:sz w:val="28"/>
          <w:szCs w:val="28"/>
        </w:rPr>
      </w:pPr>
      <w:r w:rsidRPr="009F3210">
        <w:rPr>
          <w:rFonts w:cs="Times New Roman"/>
          <w:b/>
          <w:bCs/>
          <w:color w:val="000000"/>
          <w:sz w:val="28"/>
          <w:szCs w:val="28"/>
        </w:rPr>
        <w:t xml:space="preserve">IX. </w:t>
      </w:r>
      <w:r w:rsidRPr="002C675C">
        <w:rPr>
          <w:rFonts w:cs="Times New Roman"/>
          <w:b/>
          <w:bCs/>
          <w:color w:val="000000"/>
          <w:sz w:val="28"/>
          <w:szCs w:val="28"/>
        </w:rPr>
        <w:t xml:space="preserve">Diagnostic de gravité </w:t>
      </w:r>
    </w:p>
    <w:p w:rsidR="00885560" w:rsidRDefault="00885560" w:rsidP="00885560">
      <w:pPr>
        <w:autoSpaceDE w:val="0"/>
        <w:autoSpaceDN w:val="0"/>
        <w:adjustRightInd w:val="0"/>
        <w:spacing w:after="0" w:line="240" w:lineRule="auto"/>
        <w:rPr>
          <w:rFonts w:cs="Times New Roman"/>
          <w:b/>
          <w:bCs/>
          <w:color w:val="000000"/>
          <w:sz w:val="28"/>
          <w:szCs w:val="28"/>
        </w:rPr>
      </w:pPr>
      <w:r w:rsidRPr="00885560">
        <w:rPr>
          <w:rFonts w:cs="Times New Roman"/>
          <w:b/>
          <w:bCs/>
          <w:color w:val="000000"/>
          <w:sz w:val="28"/>
          <w:szCs w:val="28"/>
        </w:rPr>
        <w:t xml:space="preserve">X. </w:t>
      </w:r>
      <w:r w:rsidRPr="00EF6E2A">
        <w:rPr>
          <w:rFonts w:cs="Times New Roman"/>
          <w:b/>
          <w:bCs/>
          <w:color w:val="000000"/>
          <w:sz w:val="28"/>
          <w:szCs w:val="28"/>
        </w:rPr>
        <w:t xml:space="preserve">Traitement  </w:t>
      </w:r>
    </w:p>
    <w:p w:rsidR="00AA4206" w:rsidRPr="00A52610" w:rsidRDefault="00AA4206" w:rsidP="00AA4206">
      <w:pPr>
        <w:autoSpaceDE w:val="0"/>
        <w:autoSpaceDN w:val="0"/>
        <w:adjustRightInd w:val="0"/>
        <w:spacing w:after="0" w:line="240" w:lineRule="auto"/>
        <w:rPr>
          <w:rFonts w:cs="Times New Roman"/>
          <w:color w:val="000000"/>
          <w:sz w:val="28"/>
          <w:szCs w:val="28"/>
        </w:rPr>
      </w:pPr>
      <w:r w:rsidRPr="00AA4206">
        <w:rPr>
          <w:rFonts w:cs="Times New Roman"/>
          <w:b/>
          <w:bCs/>
          <w:color w:val="000000"/>
          <w:sz w:val="28"/>
          <w:szCs w:val="28"/>
        </w:rPr>
        <w:t xml:space="preserve">XI. </w:t>
      </w:r>
      <w:r w:rsidRPr="00A52610">
        <w:rPr>
          <w:rFonts w:cs="Times New Roman"/>
          <w:b/>
          <w:bCs/>
          <w:color w:val="000000"/>
          <w:sz w:val="28"/>
          <w:szCs w:val="28"/>
        </w:rPr>
        <w:t xml:space="preserve">Conclusion  </w:t>
      </w:r>
    </w:p>
    <w:p w:rsidR="009F3210" w:rsidRPr="009B4FFC" w:rsidRDefault="009F3210" w:rsidP="002E4AEB">
      <w:pPr>
        <w:autoSpaceDE w:val="0"/>
        <w:autoSpaceDN w:val="0"/>
        <w:adjustRightInd w:val="0"/>
        <w:spacing w:after="0" w:line="240" w:lineRule="auto"/>
        <w:rPr>
          <w:rFonts w:cs="Times New Roman"/>
          <w:color w:val="000000"/>
          <w:sz w:val="28"/>
          <w:szCs w:val="28"/>
        </w:rPr>
      </w:pPr>
    </w:p>
    <w:p w:rsidR="002E4AEB" w:rsidRPr="00572E62" w:rsidRDefault="002E4AEB" w:rsidP="00045327">
      <w:pPr>
        <w:autoSpaceDE w:val="0"/>
        <w:autoSpaceDN w:val="0"/>
        <w:adjustRightInd w:val="0"/>
        <w:spacing w:after="0" w:line="240" w:lineRule="auto"/>
        <w:rPr>
          <w:rFonts w:cs="Times New Roman"/>
          <w:color w:val="000000"/>
          <w:sz w:val="32"/>
          <w:szCs w:val="32"/>
        </w:rPr>
      </w:pPr>
    </w:p>
    <w:p w:rsidR="00FE0465" w:rsidRPr="00687A07" w:rsidRDefault="00FE0465" w:rsidP="00FE0465">
      <w:pPr>
        <w:autoSpaceDE w:val="0"/>
        <w:autoSpaceDN w:val="0"/>
        <w:adjustRightInd w:val="0"/>
        <w:spacing w:after="0" w:line="240" w:lineRule="auto"/>
        <w:rPr>
          <w:rFonts w:cs="Times New Roman"/>
          <w:color w:val="000000"/>
          <w:sz w:val="28"/>
          <w:szCs w:val="28"/>
        </w:rPr>
      </w:pPr>
    </w:p>
    <w:p w:rsidR="00FE0465" w:rsidRDefault="00FE0465" w:rsidP="002E2606">
      <w:pPr>
        <w:autoSpaceDE w:val="0"/>
        <w:autoSpaceDN w:val="0"/>
        <w:adjustRightInd w:val="0"/>
        <w:spacing w:after="0" w:line="240" w:lineRule="auto"/>
        <w:rPr>
          <w:rFonts w:cs="Times New Roman"/>
          <w:b/>
          <w:bCs/>
          <w:color w:val="000000"/>
          <w:sz w:val="28"/>
          <w:szCs w:val="28"/>
        </w:rPr>
      </w:pPr>
    </w:p>
    <w:p w:rsidR="0003780B" w:rsidRPr="002C72D5" w:rsidRDefault="0003780B" w:rsidP="002E2606">
      <w:pPr>
        <w:autoSpaceDE w:val="0"/>
        <w:autoSpaceDN w:val="0"/>
        <w:adjustRightInd w:val="0"/>
        <w:spacing w:after="0" w:line="240" w:lineRule="auto"/>
        <w:rPr>
          <w:rFonts w:cs="Times New Roman"/>
          <w:color w:val="000000"/>
          <w:sz w:val="28"/>
          <w:szCs w:val="28"/>
        </w:rPr>
      </w:pPr>
    </w:p>
    <w:p w:rsidR="002E2606" w:rsidRPr="00047A55" w:rsidRDefault="002E2606" w:rsidP="002E2606">
      <w:pPr>
        <w:autoSpaceDE w:val="0"/>
        <w:autoSpaceDN w:val="0"/>
        <w:adjustRightInd w:val="0"/>
        <w:spacing w:after="0" w:line="240" w:lineRule="auto"/>
        <w:rPr>
          <w:rFonts w:cs="Times New Roman"/>
          <w:b/>
          <w:bCs/>
          <w:color w:val="000000"/>
          <w:sz w:val="28"/>
          <w:szCs w:val="28"/>
        </w:rPr>
      </w:pPr>
    </w:p>
    <w:p w:rsidR="000F43DC" w:rsidRDefault="000F43DC" w:rsidP="007E5333">
      <w:pPr>
        <w:jc w:val="center"/>
      </w:pPr>
    </w:p>
    <w:p w:rsidR="000F43DC" w:rsidRDefault="000F43DC" w:rsidP="007E5333">
      <w:pPr>
        <w:jc w:val="center"/>
      </w:pPr>
    </w:p>
    <w:p w:rsidR="000F43DC" w:rsidRDefault="000F43DC" w:rsidP="007E5333">
      <w:pPr>
        <w:jc w:val="center"/>
      </w:pPr>
    </w:p>
    <w:p w:rsidR="000F43DC" w:rsidRPr="00034B82" w:rsidRDefault="000F43DC" w:rsidP="007474A2">
      <w:pPr>
        <w:tabs>
          <w:tab w:val="left" w:pos="6670"/>
        </w:tabs>
        <w:jc w:val="center"/>
        <w:rPr>
          <w:u w:val="single"/>
        </w:rPr>
      </w:pPr>
      <w:r w:rsidRPr="00034B82">
        <w:rPr>
          <w:rFonts w:ascii="TimesNewRomanPS-BoldMT" w:hAnsi="TimesNewRomanPS-BoldMT" w:cs="TimesNewRomanPS-BoldMT"/>
          <w:b/>
          <w:bCs/>
          <w:sz w:val="28"/>
          <w:szCs w:val="28"/>
          <w:u w:val="single"/>
        </w:rPr>
        <w:t>(202</w:t>
      </w:r>
      <w:r w:rsidR="007474A2">
        <w:rPr>
          <w:rFonts w:ascii="TimesNewRomanPS-BoldMT" w:hAnsi="TimesNewRomanPS-BoldMT" w:cs="TimesNewRomanPS-BoldMT"/>
          <w:b/>
          <w:bCs/>
          <w:sz w:val="28"/>
          <w:szCs w:val="28"/>
          <w:u w:val="single"/>
        </w:rPr>
        <w:t>4</w:t>
      </w:r>
      <w:r w:rsidRPr="00034B82">
        <w:rPr>
          <w:rFonts w:ascii="TimesNewRomanPS-BoldMT" w:hAnsi="TimesNewRomanPS-BoldMT" w:cs="TimesNewRomanPS-BoldMT"/>
          <w:b/>
          <w:bCs/>
          <w:sz w:val="28"/>
          <w:szCs w:val="28"/>
          <w:u w:val="single"/>
        </w:rPr>
        <w:t xml:space="preserve"> – 202</w:t>
      </w:r>
      <w:r w:rsidR="007474A2">
        <w:rPr>
          <w:rFonts w:ascii="TimesNewRomanPS-BoldMT" w:hAnsi="TimesNewRomanPS-BoldMT" w:cs="TimesNewRomanPS-BoldMT"/>
          <w:b/>
          <w:bCs/>
          <w:sz w:val="28"/>
          <w:szCs w:val="28"/>
          <w:u w:val="single"/>
        </w:rPr>
        <w:t>5</w:t>
      </w:r>
      <w:r w:rsidRPr="00034B82">
        <w:rPr>
          <w:rFonts w:ascii="TimesNewRomanPS-BoldMT" w:hAnsi="TimesNewRomanPS-BoldMT" w:cs="TimesNewRomanPS-BoldMT"/>
          <w:b/>
          <w:bCs/>
          <w:sz w:val="28"/>
          <w:szCs w:val="28"/>
          <w:u w:val="single"/>
        </w:rPr>
        <w:t>)</w:t>
      </w:r>
    </w:p>
    <w:p w:rsidR="005238AD" w:rsidRPr="00144870" w:rsidRDefault="00A76A2F" w:rsidP="00310C14">
      <w:pPr>
        <w:spacing w:after="0" w:line="240" w:lineRule="auto"/>
        <w:rPr>
          <w:b/>
          <w:bCs/>
          <w:sz w:val="28"/>
          <w:szCs w:val="28"/>
          <w:u w:val="single"/>
        </w:rPr>
      </w:pPr>
      <w:r>
        <w:lastRenderedPageBreak/>
        <w:t xml:space="preserve"> </w:t>
      </w:r>
      <w:r w:rsidRPr="00144870">
        <w:rPr>
          <w:b/>
          <w:bCs/>
          <w:sz w:val="28"/>
          <w:szCs w:val="28"/>
          <w:u w:val="single"/>
        </w:rPr>
        <w:t>I. Définition</w:t>
      </w:r>
    </w:p>
    <w:p w:rsidR="00A76A2F" w:rsidRPr="00A76A2F" w:rsidRDefault="00A76A2F" w:rsidP="00310C14">
      <w:pPr>
        <w:spacing w:after="0" w:line="240" w:lineRule="auto"/>
        <w:rPr>
          <w:rFonts w:cs="Times New Roman"/>
          <w:color w:val="000000"/>
          <w:sz w:val="24"/>
          <w:szCs w:val="24"/>
        </w:rPr>
      </w:pPr>
      <w:r w:rsidRPr="00A76A2F">
        <w:rPr>
          <w:sz w:val="24"/>
          <w:szCs w:val="24"/>
        </w:rPr>
        <w:t xml:space="preserve"> </w:t>
      </w:r>
      <w:r w:rsidRPr="00A76A2F">
        <w:rPr>
          <w:rFonts w:cs="Times New Roman"/>
          <w:color w:val="000000"/>
          <w:sz w:val="24"/>
          <w:szCs w:val="24"/>
        </w:rPr>
        <w:t xml:space="preserve">L’ischémique intestinale ou mésentérique </w:t>
      </w:r>
      <w:r w:rsidR="009B701E" w:rsidRPr="00A76A2F">
        <w:rPr>
          <w:sz w:val="24"/>
          <w:szCs w:val="24"/>
        </w:rPr>
        <w:t>appelé</w:t>
      </w:r>
      <w:r w:rsidR="009B701E" w:rsidRPr="00A76A2F">
        <w:rPr>
          <w:rFonts w:cs="Times New Roman"/>
          <w:color w:val="000000"/>
          <w:sz w:val="24"/>
          <w:szCs w:val="24"/>
        </w:rPr>
        <w:t xml:space="preserve"> </w:t>
      </w:r>
      <w:r w:rsidR="009B701E" w:rsidRPr="00A76A2F">
        <w:rPr>
          <w:sz w:val="24"/>
          <w:szCs w:val="24"/>
        </w:rPr>
        <w:t>parfois</w:t>
      </w:r>
      <w:r w:rsidR="009B701E" w:rsidRPr="00A76A2F">
        <w:rPr>
          <w:rFonts w:cs="Times New Roman"/>
          <w:color w:val="000000"/>
          <w:sz w:val="24"/>
          <w:szCs w:val="24"/>
        </w:rPr>
        <w:t xml:space="preserve"> </w:t>
      </w:r>
      <w:r w:rsidR="009B701E" w:rsidRPr="00A76A2F">
        <w:rPr>
          <w:sz w:val="24"/>
          <w:szCs w:val="24"/>
        </w:rPr>
        <w:t xml:space="preserve">L’infarctus entéromésentérique </w:t>
      </w:r>
      <w:r w:rsidRPr="00A76A2F">
        <w:rPr>
          <w:rFonts w:cs="Times New Roman"/>
          <w:color w:val="000000"/>
          <w:sz w:val="24"/>
          <w:szCs w:val="24"/>
        </w:rPr>
        <w:t xml:space="preserve">se définie comme une souffrance intestinale secondaire à une insuffisance vasculaire dans le territoire splanchnique, </w:t>
      </w:r>
      <w:r w:rsidR="00BE7E49">
        <w:rPr>
          <w:rFonts w:cs="Times New Roman"/>
          <w:color w:val="000000"/>
          <w:sz w:val="24"/>
          <w:szCs w:val="24"/>
        </w:rPr>
        <w:t xml:space="preserve">elle </w:t>
      </w:r>
      <w:r w:rsidRPr="00A76A2F">
        <w:rPr>
          <w:rFonts w:cs="Times New Roman"/>
          <w:color w:val="000000"/>
          <w:sz w:val="24"/>
          <w:szCs w:val="24"/>
        </w:rPr>
        <w:t xml:space="preserve">peut être chronique ou aigue, d’origine non occlusive ou occlusive : artérielle ou veineuse. </w:t>
      </w:r>
    </w:p>
    <w:p w:rsidR="00A76A2F" w:rsidRPr="00A76A2F" w:rsidRDefault="00A76A2F" w:rsidP="00310C14">
      <w:pPr>
        <w:autoSpaceDE w:val="0"/>
        <w:autoSpaceDN w:val="0"/>
        <w:adjustRightInd w:val="0"/>
        <w:spacing w:after="0" w:line="240" w:lineRule="auto"/>
        <w:rPr>
          <w:rFonts w:cs="Times New Roman"/>
          <w:color w:val="000000"/>
          <w:sz w:val="24"/>
          <w:szCs w:val="24"/>
        </w:rPr>
      </w:pPr>
      <w:r w:rsidRPr="00A76A2F">
        <w:rPr>
          <w:rFonts w:cs="Times New Roman"/>
          <w:color w:val="000000"/>
          <w:sz w:val="24"/>
          <w:szCs w:val="24"/>
        </w:rPr>
        <w:t>L’ischémie mésentérique aigue(IMA) est la conséquence d’une hypoxie intestinale brutale conduisant, en l’absence de traitement adapté, à</w:t>
      </w:r>
      <w:r w:rsidR="00BE7E49">
        <w:rPr>
          <w:rFonts w:cs="Times New Roman"/>
          <w:color w:val="000000"/>
          <w:sz w:val="24"/>
          <w:szCs w:val="24"/>
        </w:rPr>
        <w:t xml:space="preserve"> la </w:t>
      </w:r>
      <w:r w:rsidR="00002739">
        <w:rPr>
          <w:rFonts w:cs="Times New Roman"/>
          <w:color w:val="000000"/>
          <w:sz w:val="24"/>
          <w:szCs w:val="24"/>
        </w:rPr>
        <w:t xml:space="preserve">nécrose </w:t>
      </w:r>
      <w:r w:rsidR="00002739" w:rsidRPr="00A76A2F">
        <w:rPr>
          <w:rFonts w:cs="Times New Roman"/>
          <w:color w:val="000000"/>
          <w:sz w:val="24"/>
          <w:szCs w:val="24"/>
        </w:rPr>
        <w:t>entéromésentérique</w:t>
      </w:r>
      <w:r w:rsidRPr="00A76A2F">
        <w:rPr>
          <w:rFonts w:cs="Times New Roman"/>
          <w:color w:val="000000"/>
          <w:sz w:val="24"/>
          <w:szCs w:val="24"/>
        </w:rPr>
        <w:t xml:space="preserve"> et au décès, il s’agit d’une urgence médico- chirurgicale absolue, digestive et vasculaire. </w:t>
      </w:r>
    </w:p>
    <w:p w:rsidR="005238AD" w:rsidRDefault="00A76A2F" w:rsidP="00310C14">
      <w:pPr>
        <w:autoSpaceDE w:val="0"/>
        <w:autoSpaceDN w:val="0"/>
        <w:adjustRightInd w:val="0"/>
        <w:spacing w:after="0" w:line="240" w:lineRule="auto"/>
        <w:rPr>
          <w:rFonts w:cs="Times New Roman"/>
          <w:color w:val="000000"/>
          <w:sz w:val="24"/>
          <w:szCs w:val="24"/>
        </w:rPr>
      </w:pPr>
      <w:r w:rsidRPr="00A76A2F">
        <w:rPr>
          <w:rFonts w:cs="Times New Roman"/>
          <w:color w:val="000000"/>
          <w:sz w:val="24"/>
          <w:szCs w:val="24"/>
        </w:rPr>
        <w:t xml:space="preserve">IMA est rare et grave avec une mortalité </w:t>
      </w:r>
      <w:r w:rsidR="005238AD">
        <w:rPr>
          <w:rFonts w:cs="Times New Roman"/>
          <w:color w:val="000000"/>
          <w:sz w:val="24"/>
          <w:szCs w:val="24"/>
        </w:rPr>
        <w:t xml:space="preserve">élevée </w:t>
      </w:r>
      <w:r w:rsidRPr="00A76A2F">
        <w:rPr>
          <w:rFonts w:cs="Times New Roman"/>
          <w:color w:val="000000"/>
          <w:sz w:val="24"/>
          <w:szCs w:val="24"/>
        </w:rPr>
        <w:t xml:space="preserve">et un risque élevé de grêle court. </w:t>
      </w:r>
    </w:p>
    <w:p w:rsidR="00A76A2F" w:rsidRPr="00A76A2F" w:rsidRDefault="00A76A2F" w:rsidP="00310C14">
      <w:pPr>
        <w:autoSpaceDE w:val="0"/>
        <w:autoSpaceDN w:val="0"/>
        <w:adjustRightInd w:val="0"/>
        <w:spacing w:after="0" w:line="240" w:lineRule="auto"/>
        <w:rPr>
          <w:rFonts w:cs="Times New Roman"/>
          <w:color w:val="000000"/>
          <w:sz w:val="24"/>
          <w:szCs w:val="24"/>
        </w:rPr>
      </w:pPr>
      <w:r w:rsidRPr="00A76A2F">
        <w:rPr>
          <w:rFonts w:cs="Times New Roman"/>
          <w:color w:val="000000"/>
          <w:sz w:val="24"/>
          <w:szCs w:val="24"/>
        </w:rPr>
        <w:t xml:space="preserve">Ce mauvais pronostic est lié au retard diagnostic par manque de sensibilité et de spécificité des signes cliniques et biologiques. </w:t>
      </w:r>
    </w:p>
    <w:p w:rsidR="00A76A2F" w:rsidRDefault="00A76A2F" w:rsidP="00310C14">
      <w:pPr>
        <w:spacing w:after="0" w:line="240" w:lineRule="auto"/>
        <w:rPr>
          <w:rFonts w:cs="Times New Roman"/>
          <w:color w:val="000000"/>
          <w:sz w:val="24"/>
          <w:szCs w:val="24"/>
        </w:rPr>
      </w:pPr>
      <w:r w:rsidRPr="00A76A2F">
        <w:rPr>
          <w:rFonts w:cs="Times New Roman"/>
          <w:color w:val="000000"/>
          <w:sz w:val="24"/>
          <w:szCs w:val="24"/>
        </w:rPr>
        <w:t>Le traitement est encore mal codifié néanmoins la prise en charge doit être précoce et multidisciplinaire centrée sur la perméabilité vasculaire et la viabilité intestinale.</w:t>
      </w:r>
    </w:p>
    <w:p w:rsidR="00755912" w:rsidRDefault="00755912" w:rsidP="00755912">
      <w:pPr>
        <w:pStyle w:val="Default"/>
      </w:pPr>
    </w:p>
    <w:p w:rsidR="00755912" w:rsidRPr="00144870" w:rsidRDefault="00755912" w:rsidP="00755912">
      <w:pPr>
        <w:pStyle w:val="Default"/>
        <w:rPr>
          <w:sz w:val="28"/>
          <w:szCs w:val="28"/>
          <w:u w:val="single"/>
        </w:rPr>
      </w:pPr>
      <w:r w:rsidRPr="00755912">
        <w:t xml:space="preserve"> </w:t>
      </w:r>
      <w:r w:rsidRPr="00144870">
        <w:rPr>
          <w:b/>
          <w:bCs/>
          <w:sz w:val="28"/>
          <w:szCs w:val="28"/>
          <w:u w:val="single"/>
        </w:rPr>
        <w:t xml:space="preserve">II. Intérêts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4"/>
          <w:szCs w:val="24"/>
        </w:rPr>
      </w:pP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IMA est une maladie rare mais grave, il s’agit d’une urgence absolue.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 la douleur est le maitre symptôme mais ses caractéristiques sont peu spécifiques.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 le diagnostique est difficile, ni la clinique ni la biologie ne sont spécifiques.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 le diagnostic est basé sur un faisceau d’arguments.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 l’Angioscanner est l’examen de référence, il permet le diagnostic : positif, étiologique, topographique et de gravité </w:t>
      </w:r>
    </w:p>
    <w:p w:rsidR="008B3EE6" w:rsidRPr="008B3EE6" w:rsidRDefault="008B3EE6" w:rsidP="008B3EE6">
      <w:pPr>
        <w:autoSpaceDE w:val="0"/>
        <w:autoSpaceDN w:val="0"/>
        <w:adjustRightInd w:val="0"/>
        <w:spacing w:after="0" w:line="240" w:lineRule="auto"/>
        <w:rPr>
          <w:rFonts w:ascii="Times New Roman" w:hAnsi="Times New Roman" w:cs="Times New Roman"/>
          <w:color w:val="000000"/>
          <w:sz w:val="23"/>
          <w:szCs w:val="23"/>
        </w:rPr>
      </w:pPr>
      <w:r w:rsidRPr="008B3EE6">
        <w:rPr>
          <w:rFonts w:ascii="Times New Roman" w:hAnsi="Times New Roman" w:cs="Times New Roman"/>
          <w:color w:val="000000"/>
          <w:sz w:val="23"/>
          <w:szCs w:val="23"/>
        </w:rPr>
        <w:t xml:space="preserve">- le L-Lactate est considéré comme un marqueur de gravité. </w:t>
      </w:r>
    </w:p>
    <w:p w:rsidR="00047A55" w:rsidRPr="00755912" w:rsidRDefault="00047A55" w:rsidP="00755912">
      <w:pPr>
        <w:pStyle w:val="Default"/>
        <w:ind w:left="360"/>
      </w:pPr>
    </w:p>
    <w:p w:rsidR="00047A55" w:rsidRPr="00047A55" w:rsidRDefault="00047A55" w:rsidP="00047A55">
      <w:pPr>
        <w:autoSpaceDE w:val="0"/>
        <w:autoSpaceDN w:val="0"/>
        <w:adjustRightInd w:val="0"/>
        <w:spacing w:after="0" w:line="240" w:lineRule="auto"/>
        <w:rPr>
          <w:rFonts w:cs="Times New Roman"/>
          <w:b/>
          <w:bCs/>
          <w:color w:val="000000"/>
          <w:sz w:val="28"/>
          <w:szCs w:val="28"/>
          <w:u w:val="single"/>
        </w:rPr>
      </w:pPr>
      <w:r w:rsidRPr="00144870">
        <w:rPr>
          <w:rFonts w:cs="Times New Roman"/>
          <w:b/>
          <w:bCs/>
          <w:color w:val="000000"/>
          <w:sz w:val="28"/>
          <w:szCs w:val="28"/>
          <w:u w:val="single"/>
        </w:rPr>
        <w:t xml:space="preserve">III. </w:t>
      </w:r>
      <w:r w:rsidR="003D00A1" w:rsidRPr="00144870">
        <w:rPr>
          <w:rFonts w:cs="Times New Roman"/>
          <w:b/>
          <w:bCs/>
          <w:color w:val="000000"/>
          <w:sz w:val="28"/>
          <w:szCs w:val="28"/>
          <w:u w:val="single"/>
        </w:rPr>
        <w:t xml:space="preserve">Rappel anatomique </w:t>
      </w:r>
    </w:p>
    <w:p w:rsidR="00047A55" w:rsidRPr="00047A55" w:rsidRDefault="00047A55" w:rsidP="00315952">
      <w:pPr>
        <w:autoSpaceDE w:val="0"/>
        <w:autoSpaceDN w:val="0"/>
        <w:adjustRightInd w:val="0"/>
        <w:spacing w:after="0" w:line="240" w:lineRule="auto"/>
        <w:rPr>
          <w:rFonts w:cs="Times New Roman"/>
          <w:color w:val="000000"/>
          <w:sz w:val="24"/>
          <w:szCs w:val="24"/>
        </w:rPr>
      </w:pPr>
      <w:r w:rsidRPr="00047A55">
        <w:rPr>
          <w:rFonts w:cs="Times New Roman"/>
          <w:color w:val="000000"/>
          <w:sz w:val="24"/>
          <w:szCs w:val="24"/>
        </w:rPr>
        <w:t xml:space="preserve">La vascularisation digestive est assurée par trois artères naissant de la face antérieure de l’Aorte abdominale : tronc coeliaque, artères mésentérique supérieure (destinée au grêle et colon droit) et inferieure (destinée au colon gauche), largement anastomosées entre elles. </w:t>
      </w:r>
    </w:p>
    <w:p w:rsidR="00755912" w:rsidRDefault="00047A55" w:rsidP="00315952">
      <w:pPr>
        <w:spacing w:line="240" w:lineRule="auto"/>
        <w:rPr>
          <w:rFonts w:cs="Times New Roman"/>
          <w:color w:val="000000"/>
          <w:sz w:val="24"/>
          <w:szCs w:val="24"/>
        </w:rPr>
      </w:pPr>
      <w:r w:rsidRPr="00047A55">
        <w:rPr>
          <w:rFonts w:cs="Times New Roman"/>
          <w:color w:val="000000"/>
          <w:sz w:val="24"/>
          <w:szCs w:val="24"/>
        </w:rPr>
        <w:t>Le retour veineux est assuré par deux veines s’abouchant dans le tronc porte : Veine mésentérique supérieure et inferieure.</w:t>
      </w:r>
    </w:p>
    <w:p w:rsidR="00315952" w:rsidRDefault="00C83ECE" w:rsidP="00C83ECE">
      <w:pPr>
        <w:spacing w:line="240" w:lineRule="auto"/>
        <w:jc w:val="center"/>
        <w:rPr>
          <w:sz w:val="24"/>
          <w:szCs w:val="24"/>
        </w:rPr>
      </w:pPr>
      <w:r>
        <w:rPr>
          <w:noProof/>
          <w:sz w:val="24"/>
          <w:szCs w:val="24"/>
          <w:lang w:eastAsia="fr-FR"/>
        </w:rPr>
        <w:drawing>
          <wp:inline distT="0" distB="0" distL="0" distR="0">
            <wp:extent cx="4714875" cy="30956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14875" cy="3095625"/>
                    </a:xfrm>
                    <a:prstGeom prst="rect">
                      <a:avLst/>
                    </a:prstGeom>
                    <a:noFill/>
                    <a:ln w="9525">
                      <a:noFill/>
                      <a:miter lim="800000"/>
                      <a:headEnd/>
                      <a:tailEnd/>
                    </a:ln>
                  </pic:spPr>
                </pic:pic>
              </a:graphicData>
            </a:graphic>
          </wp:inline>
        </w:drawing>
      </w:r>
    </w:p>
    <w:p w:rsidR="00C30B9F" w:rsidRPr="00C30B9F" w:rsidRDefault="00C30B9F" w:rsidP="00C30B9F">
      <w:pPr>
        <w:autoSpaceDE w:val="0"/>
        <w:autoSpaceDN w:val="0"/>
        <w:adjustRightInd w:val="0"/>
        <w:spacing w:after="0" w:line="240" w:lineRule="auto"/>
        <w:rPr>
          <w:rFonts w:cs="Times New Roman"/>
          <w:color w:val="000000"/>
          <w:sz w:val="24"/>
          <w:szCs w:val="24"/>
        </w:rPr>
      </w:pPr>
      <w:r w:rsidRPr="00C30B9F">
        <w:rPr>
          <w:rFonts w:cs="Times New Roman"/>
          <w:color w:val="000000"/>
          <w:sz w:val="24"/>
          <w:szCs w:val="24"/>
        </w:rPr>
        <w:lastRenderedPageBreak/>
        <w:t xml:space="preserve">La topographie des lésions digestives suit généralement un certain degré de systématisation vasculaire en fonction du vaisseau impliqué. </w:t>
      </w:r>
    </w:p>
    <w:p w:rsidR="00C83ECE" w:rsidRPr="00595984" w:rsidRDefault="00C30B9F" w:rsidP="00C30B9F">
      <w:pPr>
        <w:spacing w:line="240" w:lineRule="auto"/>
        <w:rPr>
          <w:rFonts w:cs="Times New Roman"/>
          <w:color w:val="000000"/>
          <w:sz w:val="24"/>
          <w:szCs w:val="24"/>
        </w:rPr>
      </w:pPr>
      <w:r w:rsidRPr="00595984">
        <w:rPr>
          <w:rFonts w:cs="Times New Roman"/>
          <w:color w:val="000000"/>
          <w:sz w:val="24"/>
          <w:szCs w:val="24"/>
        </w:rPr>
        <w:t>Après de multiples subdivision, la vascularisation mésentérique donne place à un réseau micro vasculaire au niveau des villosités dont le disposition fait que le sommet de la villosité soit la zone la plus sensible à l’ischémie.</w:t>
      </w:r>
    </w:p>
    <w:p w:rsidR="002C72D5" w:rsidRPr="002C72D5" w:rsidRDefault="002C72D5" w:rsidP="002C72D5">
      <w:pPr>
        <w:autoSpaceDE w:val="0"/>
        <w:autoSpaceDN w:val="0"/>
        <w:adjustRightInd w:val="0"/>
        <w:spacing w:after="0" w:line="240" w:lineRule="auto"/>
        <w:rPr>
          <w:rFonts w:cs="Times New Roman"/>
          <w:color w:val="000000"/>
          <w:sz w:val="28"/>
          <w:szCs w:val="28"/>
          <w:u w:val="single"/>
        </w:rPr>
      </w:pPr>
      <w:r w:rsidRPr="00144870">
        <w:rPr>
          <w:rFonts w:cs="Times New Roman"/>
          <w:b/>
          <w:bCs/>
          <w:color w:val="000000"/>
          <w:sz w:val="28"/>
          <w:szCs w:val="28"/>
          <w:u w:val="single"/>
        </w:rPr>
        <w:t xml:space="preserve">IV. </w:t>
      </w:r>
      <w:r w:rsidRPr="002C72D5">
        <w:rPr>
          <w:rFonts w:cs="Times New Roman"/>
          <w:b/>
          <w:bCs/>
          <w:color w:val="000000"/>
          <w:sz w:val="28"/>
          <w:szCs w:val="28"/>
          <w:u w:val="single"/>
        </w:rPr>
        <w:t xml:space="preserve">Physiopathologie </w:t>
      </w:r>
    </w:p>
    <w:p w:rsidR="002C72D5" w:rsidRPr="002C72D5" w:rsidRDefault="002C72D5" w:rsidP="002C72D5">
      <w:pPr>
        <w:autoSpaceDE w:val="0"/>
        <w:autoSpaceDN w:val="0"/>
        <w:adjustRightInd w:val="0"/>
        <w:spacing w:after="0" w:line="240" w:lineRule="auto"/>
        <w:rPr>
          <w:rFonts w:cs="Times New Roman"/>
          <w:color w:val="000000"/>
          <w:sz w:val="24"/>
          <w:szCs w:val="24"/>
        </w:rPr>
      </w:pPr>
      <w:r w:rsidRPr="002C72D5">
        <w:rPr>
          <w:rFonts w:cs="Times New Roman"/>
          <w:color w:val="000000"/>
          <w:sz w:val="24"/>
          <w:szCs w:val="24"/>
        </w:rPr>
        <w:t xml:space="preserve">L’IMA est la conséquence d’une interruption ou diminution du flux sanguin splanchno-mésentérique, en absence de revascularision précoce, elle évoluera vers la nécrose puis la péritonite par perforation et décès du patient dans un tableau de défaillance polyviscérale. </w:t>
      </w:r>
    </w:p>
    <w:p w:rsidR="002C72D5" w:rsidRPr="002C72D5" w:rsidRDefault="002C72D5" w:rsidP="002C72D5">
      <w:pPr>
        <w:autoSpaceDE w:val="0"/>
        <w:autoSpaceDN w:val="0"/>
        <w:adjustRightInd w:val="0"/>
        <w:spacing w:after="0" w:line="240" w:lineRule="auto"/>
        <w:rPr>
          <w:rFonts w:cs="Times New Roman"/>
          <w:color w:val="000000"/>
          <w:sz w:val="24"/>
          <w:szCs w:val="24"/>
        </w:rPr>
      </w:pPr>
      <w:r w:rsidRPr="002C72D5">
        <w:rPr>
          <w:rFonts w:cs="Times New Roman"/>
          <w:color w:val="000000"/>
          <w:sz w:val="24"/>
          <w:szCs w:val="24"/>
        </w:rPr>
        <w:t xml:space="preserve">Quand le débit sanguin digestive baisse en dessous de 50% du débit basal (seuil critique de délivrance en oxygène), les cellules épithéliales basculent vers la glycolyse anaérobie avec production de lactates, initialement métabolisés pas le foie, la constatation dune acidose lactique </w:t>
      </w:r>
      <w:r w:rsidRPr="002C72D5">
        <w:rPr>
          <w:rFonts w:cs="Times New Roman"/>
          <w:b/>
          <w:bCs/>
          <w:color w:val="000000"/>
          <w:sz w:val="24"/>
          <w:szCs w:val="24"/>
        </w:rPr>
        <w:t>est tardive</w:t>
      </w:r>
      <w:r w:rsidRPr="002C72D5">
        <w:rPr>
          <w:rFonts w:cs="Times New Roman"/>
          <w:color w:val="000000"/>
          <w:sz w:val="24"/>
          <w:szCs w:val="24"/>
        </w:rPr>
        <w:t xml:space="preserve"> et témoigne la plus souvent </w:t>
      </w:r>
      <w:r w:rsidRPr="002C72D5">
        <w:rPr>
          <w:rFonts w:cs="Times New Roman"/>
          <w:b/>
          <w:bCs/>
          <w:color w:val="000000"/>
          <w:sz w:val="24"/>
          <w:szCs w:val="24"/>
        </w:rPr>
        <w:t>d’une nécrose intestinale</w:t>
      </w:r>
      <w:r w:rsidRPr="002C72D5">
        <w:rPr>
          <w:rFonts w:cs="Times New Roman"/>
          <w:color w:val="000000"/>
          <w:sz w:val="24"/>
          <w:szCs w:val="24"/>
        </w:rPr>
        <w:t xml:space="preserve">. </w:t>
      </w:r>
    </w:p>
    <w:p w:rsidR="002C72D5" w:rsidRPr="002C72D5" w:rsidRDefault="002C72D5" w:rsidP="002C72D5">
      <w:pPr>
        <w:autoSpaceDE w:val="0"/>
        <w:autoSpaceDN w:val="0"/>
        <w:adjustRightInd w:val="0"/>
        <w:spacing w:after="0" w:line="240" w:lineRule="auto"/>
        <w:rPr>
          <w:rFonts w:cs="Times New Roman"/>
          <w:color w:val="000000"/>
          <w:sz w:val="24"/>
          <w:szCs w:val="24"/>
        </w:rPr>
      </w:pPr>
      <w:r w:rsidRPr="002C72D5">
        <w:rPr>
          <w:rFonts w:cs="Times New Roman"/>
          <w:color w:val="000000"/>
          <w:sz w:val="24"/>
          <w:szCs w:val="24"/>
        </w:rPr>
        <w:t xml:space="preserve">L’hypoperfusion de la muqueuse intestinale est responsable d’une desquamation épithéliale par nécrose cellulaire, débutant au sommet de la villosité puis s’étendant rapidement en profondeur, conduisant à une rupture de la barrière épithéliale faisant ainsi interagir, sur une grande surface intestinale, le microbiote avec le système immun sous muqueux, stimulant l’immunité innée et les voies locales et systémiques de l’inflammation. A travers la circulation sanguine, la translocation bactérienne et des produits de la dégradation cellulaires induisent un syndrome inflammatoire de réponse systémique(SIRS) faisant du tube digestif un véritable foyer infectieux. </w:t>
      </w:r>
    </w:p>
    <w:p w:rsidR="002C72D5" w:rsidRPr="002C72D5" w:rsidRDefault="002C72D5" w:rsidP="002C72D5">
      <w:pPr>
        <w:autoSpaceDE w:val="0"/>
        <w:autoSpaceDN w:val="0"/>
        <w:adjustRightInd w:val="0"/>
        <w:spacing w:after="0" w:line="240" w:lineRule="auto"/>
        <w:rPr>
          <w:rFonts w:cs="Times New Roman"/>
          <w:color w:val="000000"/>
          <w:sz w:val="24"/>
          <w:szCs w:val="24"/>
        </w:rPr>
      </w:pPr>
      <w:r w:rsidRPr="002C72D5">
        <w:rPr>
          <w:rFonts w:cs="Times New Roman"/>
          <w:color w:val="000000"/>
          <w:sz w:val="24"/>
          <w:szCs w:val="24"/>
        </w:rPr>
        <w:t xml:space="preserve">Les lésions endothéliale peuvent entrainer une consommation de plaquettes et une activation de la fibrinolyse à l’origine d’un syndrome hémorragique paradoxal, témoin d’une ischémie évolutive. </w:t>
      </w:r>
    </w:p>
    <w:p w:rsidR="00C30B9F" w:rsidRDefault="002C72D5" w:rsidP="002C72D5">
      <w:pPr>
        <w:spacing w:line="240" w:lineRule="auto"/>
        <w:rPr>
          <w:rFonts w:cs="Times New Roman"/>
          <w:color w:val="000000"/>
          <w:sz w:val="24"/>
          <w:szCs w:val="24"/>
        </w:rPr>
      </w:pPr>
      <w:r w:rsidRPr="00595984">
        <w:rPr>
          <w:rFonts w:cs="Times New Roman"/>
          <w:color w:val="000000"/>
          <w:sz w:val="24"/>
          <w:szCs w:val="24"/>
        </w:rPr>
        <w:t>Apres une reperméabilisation ou une restauration hémodynamique, une aggravation des lésions inflammatoires locales et systémiques peut se voir, liée au syndrome</w:t>
      </w:r>
      <w:r w:rsidR="00463C62">
        <w:rPr>
          <w:rFonts w:cs="Times New Roman"/>
          <w:color w:val="000000"/>
          <w:sz w:val="24"/>
          <w:szCs w:val="24"/>
        </w:rPr>
        <w:t xml:space="preserve">               </w:t>
      </w:r>
      <w:r w:rsidRPr="00595984">
        <w:rPr>
          <w:rFonts w:cs="Times New Roman"/>
          <w:color w:val="000000"/>
          <w:sz w:val="24"/>
          <w:szCs w:val="24"/>
        </w:rPr>
        <w:t xml:space="preserve"> </w:t>
      </w:r>
      <w:r w:rsidRPr="00463C62">
        <w:rPr>
          <w:rFonts w:cs="Times New Roman"/>
          <w:b/>
          <w:bCs/>
          <w:color w:val="000000"/>
          <w:sz w:val="24"/>
          <w:szCs w:val="24"/>
        </w:rPr>
        <w:t>d’ischémie-reperfusion</w:t>
      </w:r>
      <w:r w:rsidRPr="00595984">
        <w:rPr>
          <w:rFonts w:cs="Times New Roman"/>
          <w:color w:val="000000"/>
          <w:sz w:val="24"/>
          <w:szCs w:val="24"/>
        </w:rPr>
        <w:t xml:space="preserve"> secondaire à la production de métabolites toxiques à la </w:t>
      </w:r>
      <w:r w:rsidR="003E4066" w:rsidRPr="00595984">
        <w:rPr>
          <w:rFonts w:cs="Times New Roman"/>
          <w:color w:val="000000"/>
          <w:sz w:val="24"/>
          <w:szCs w:val="24"/>
        </w:rPr>
        <w:t>ré oxygénation</w:t>
      </w:r>
      <w:r w:rsidRPr="00595984">
        <w:rPr>
          <w:rFonts w:cs="Times New Roman"/>
          <w:color w:val="000000"/>
          <w:sz w:val="24"/>
          <w:szCs w:val="24"/>
        </w:rPr>
        <w:t>.</w:t>
      </w:r>
    </w:p>
    <w:p w:rsidR="001B6971" w:rsidRPr="001B6971" w:rsidRDefault="001B6971" w:rsidP="001B6971">
      <w:pPr>
        <w:autoSpaceDE w:val="0"/>
        <w:autoSpaceDN w:val="0"/>
        <w:adjustRightInd w:val="0"/>
        <w:spacing w:after="0" w:line="240" w:lineRule="auto"/>
        <w:rPr>
          <w:rFonts w:cs="Times New Roman"/>
          <w:color w:val="000000"/>
          <w:sz w:val="28"/>
          <w:szCs w:val="28"/>
          <w:u w:val="single"/>
        </w:rPr>
      </w:pPr>
      <w:r w:rsidRPr="00C15424">
        <w:rPr>
          <w:rFonts w:cs="Times New Roman"/>
          <w:b/>
          <w:bCs/>
          <w:color w:val="000000"/>
          <w:sz w:val="28"/>
          <w:szCs w:val="28"/>
          <w:u w:val="single"/>
        </w:rPr>
        <w:t xml:space="preserve">V. </w:t>
      </w:r>
      <w:r w:rsidRPr="001B6971">
        <w:rPr>
          <w:rFonts w:cs="Times New Roman"/>
          <w:b/>
          <w:bCs/>
          <w:color w:val="000000"/>
          <w:sz w:val="28"/>
          <w:szCs w:val="28"/>
          <w:u w:val="single"/>
        </w:rPr>
        <w:t xml:space="preserve">Etiopathogenie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color w:val="000000"/>
          <w:sz w:val="24"/>
          <w:szCs w:val="24"/>
        </w:rPr>
        <w:t xml:space="preserve">L’ischémie mésentérique peut donner lieu à deux tableaux cliniques :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b/>
          <w:bCs/>
          <w:color w:val="000000"/>
          <w:sz w:val="24"/>
          <w:szCs w:val="24"/>
        </w:rPr>
        <w:t xml:space="preserve">1- Ischémie mésentérique chronique :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color w:val="000000"/>
          <w:sz w:val="24"/>
          <w:szCs w:val="24"/>
        </w:rPr>
        <w:t xml:space="preserve">C’est une insuffisance vasculaire ne permettant pas de couvrir les besoins métaboliques de la muqueuse digestive en période prandiale/ postprandiale réalisant l’angor digestive.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color w:val="000000"/>
          <w:sz w:val="24"/>
          <w:szCs w:val="24"/>
        </w:rPr>
        <w:t xml:space="preserve">Survient sur des artères pathologiques et est liée dans 90% des cas à l’athérosclérose, elle nécessite classiquement la sténose d’au moins deux des trois artères splanchniques.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b/>
          <w:bCs/>
          <w:color w:val="000000"/>
          <w:sz w:val="24"/>
          <w:szCs w:val="24"/>
        </w:rPr>
        <w:t xml:space="preserve">2- Ischémie mésentérique aigue : </w:t>
      </w:r>
    </w:p>
    <w:p w:rsidR="001B6971" w:rsidRPr="001B6971" w:rsidRDefault="001B6971" w:rsidP="00A42BBD">
      <w:pPr>
        <w:autoSpaceDE w:val="0"/>
        <w:autoSpaceDN w:val="0"/>
        <w:adjustRightInd w:val="0"/>
        <w:spacing w:after="0" w:line="240" w:lineRule="auto"/>
        <w:rPr>
          <w:rFonts w:cs="Times New Roman"/>
          <w:color w:val="000000"/>
          <w:sz w:val="24"/>
          <w:szCs w:val="24"/>
        </w:rPr>
      </w:pPr>
      <w:r w:rsidRPr="001B6971">
        <w:rPr>
          <w:rFonts w:cs="Times New Roman"/>
          <w:color w:val="000000"/>
          <w:sz w:val="24"/>
          <w:szCs w:val="24"/>
        </w:rPr>
        <w:t xml:space="preserve">Evolue rapidement vers l’infarctus mésentérique en quelque heures/jours et peut compliquée une ischémie chronique. </w:t>
      </w:r>
    </w:p>
    <w:p w:rsidR="00D40E45" w:rsidRDefault="001B6971" w:rsidP="00A42BBD">
      <w:pPr>
        <w:spacing w:line="240" w:lineRule="auto"/>
        <w:rPr>
          <w:rFonts w:cs="Times New Roman"/>
          <w:color w:val="000000"/>
          <w:sz w:val="24"/>
          <w:szCs w:val="24"/>
        </w:rPr>
      </w:pPr>
      <w:r w:rsidRPr="001B6971">
        <w:rPr>
          <w:rFonts w:cs="Times New Roman"/>
          <w:color w:val="000000"/>
          <w:sz w:val="24"/>
          <w:szCs w:val="24"/>
        </w:rPr>
        <w:t>Deux grands mécanismes sont incriminés : occlusif et non occlusif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b/>
          <w:bCs/>
          <w:color w:val="000000"/>
          <w:sz w:val="24"/>
          <w:szCs w:val="24"/>
        </w:rPr>
        <w:t xml:space="preserve">A- Occlusion artérielle :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color w:val="000000"/>
          <w:sz w:val="24"/>
          <w:szCs w:val="24"/>
        </w:rPr>
        <w:t xml:space="preserve">Soit par :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color w:val="000000"/>
          <w:sz w:val="24"/>
          <w:szCs w:val="24"/>
        </w:rPr>
        <w:t xml:space="preserve">- Embolie artérielle : est responsable de 40-50% des IMA. L’embole est le plus souvent d’origine cardiaque (trouble du rythme, valvulopathie, cardiomyopathie…).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color w:val="000000"/>
          <w:sz w:val="24"/>
          <w:szCs w:val="24"/>
        </w:rPr>
        <w:t xml:space="preserve">- Thrombose artérielle : est responsable de 25-30% des IMA et survient sur des artères pathologiques, la maladie athéromateuse est la plus incriminée. </w:t>
      </w:r>
    </w:p>
    <w:p w:rsidR="004334B1" w:rsidRPr="004334B1" w:rsidRDefault="004334B1" w:rsidP="00DA27D7">
      <w:pPr>
        <w:autoSpaceDE w:val="0"/>
        <w:autoSpaceDN w:val="0"/>
        <w:adjustRightInd w:val="0"/>
        <w:spacing w:after="0" w:line="240" w:lineRule="auto"/>
        <w:rPr>
          <w:rFonts w:cs="Times New Roman"/>
          <w:color w:val="000000"/>
          <w:sz w:val="24"/>
          <w:szCs w:val="24"/>
        </w:rPr>
      </w:pPr>
      <w:r w:rsidRPr="004334B1">
        <w:rPr>
          <w:rFonts w:cs="Times New Roman"/>
          <w:color w:val="000000"/>
          <w:sz w:val="24"/>
          <w:szCs w:val="24"/>
        </w:rPr>
        <w:lastRenderedPageBreak/>
        <w:t>D’autres cause d’occlusion peuvent être cités : les vascularite, les dissections, les infiltrats</w:t>
      </w:r>
      <w:r w:rsidR="00DA27D7">
        <w:rPr>
          <w:rFonts w:cs="Times New Roman"/>
          <w:color w:val="000000"/>
          <w:sz w:val="24"/>
          <w:szCs w:val="24"/>
        </w:rPr>
        <w:t xml:space="preserve"> </w:t>
      </w:r>
      <w:r w:rsidRPr="004334B1">
        <w:rPr>
          <w:rFonts w:cs="Times New Roman"/>
          <w:color w:val="000000"/>
          <w:sz w:val="24"/>
          <w:szCs w:val="24"/>
        </w:rPr>
        <w:t xml:space="preserve">tumoraux engainants, les traumatismes, les compressions vasculaires…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b/>
          <w:bCs/>
          <w:color w:val="000000"/>
          <w:sz w:val="24"/>
          <w:szCs w:val="24"/>
        </w:rPr>
        <w:t xml:space="preserve">B- Occlusion veineuse : </w:t>
      </w:r>
    </w:p>
    <w:p w:rsidR="004334B1" w:rsidRPr="004334B1" w:rsidRDefault="004334B1" w:rsidP="004334B1">
      <w:pPr>
        <w:autoSpaceDE w:val="0"/>
        <w:autoSpaceDN w:val="0"/>
        <w:adjustRightInd w:val="0"/>
        <w:spacing w:after="0" w:line="240" w:lineRule="auto"/>
        <w:rPr>
          <w:rFonts w:cs="Times New Roman"/>
          <w:color w:val="000000"/>
          <w:sz w:val="24"/>
          <w:szCs w:val="24"/>
        </w:rPr>
      </w:pPr>
      <w:r w:rsidRPr="004334B1">
        <w:rPr>
          <w:rFonts w:cs="Times New Roman"/>
          <w:color w:val="000000"/>
          <w:sz w:val="24"/>
          <w:szCs w:val="24"/>
        </w:rPr>
        <w:t xml:space="preserve">La thrombose veineuse est responsable de 5-15% des IMA et se développe le plus souvent au niveau de la veine mésentérique supérieure. </w:t>
      </w:r>
    </w:p>
    <w:p w:rsidR="00A42BBD" w:rsidRDefault="004334B1" w:rsidP="004334B1">
      <w:pPr>
        <w:spacing w:line="240" w:lineRule="auto"/>
        <w:rPr>
          <w:rFonts w:cs="Times New Roman"/>
          <w:color w:val="000000"/>
          <w:sz w:val="24"/>
          <w:szCs w:val="24"/>
        </w:rPr>
      </w:pPr>
      <w:r w:rsidRPr="004334B1">
        <w:rPr>
          <w:rFonts w:cs="Times New Roman"/>
          <w:color w:val="000000"/>
          <w:sz w:val="24"/>
          <w:szCs w:val="24"/>
        </w:rPr>
        <w:t>Les facteurs de risques sont : la thrombophilie, processus inflammatoire secondaire à une pathologie digestive (pancréatite, néoplasie, sepsis) ou traumatisme abdominal.</w:t>
      </w:r>
    </w:p>
    <w:p w:rsidR="001A1104" w:rsidRPr="001A1104" w:rsidRDefault="001A1104" w:rsidP="001A1104">
      <w:pPr>
        <w:autoSpaceDE w:val="0"/>
        <w:autoSpaceDN w:val="0"/>
        <w:adjustRightInd w:val="0"/>
        <w:spacing w:after="0" w:line="240" w:lineRule="auto"/>
        <w:rPr>
          <w:rFonts w:cs="Times New Roman"/>
          <w:color w:val="000000"/>
          <w:sz w:val="24"/>
          <w:szCs w:val="24"/>
        </w:rPr>
      </w:pPr>
      <w:r w:rsidRPr="001A1104">
        <w:rPr>
          <w:rFonts w:cs="Times New Roman"/>
          <w:b/>
          <w:bCs/>
          <w:color w:val="000000"/>
          <w:sz w:val="24"/>
          <w:szCs w:val="24"/>
        </w:rPr>
        <w:t xml:space="preserve">C- Mécanisme non occlusif : </w:t>
      </w:r>
    </w:p>
    <w:p w:rsidR="0051451F" w:rsidRDefault="001A1104" w:rsidP="001A1104">
      <w:pPr>
        <w:spacing w:line="240" w:lineRule="auto"/>
        <w:rPr>
          <w:rFonts w:cs="Times New Roman"/>
          <w:color w:val="000000"/>
          <w:sz w:val="24"/>
          <w:szCs w:val="24"/>
        </w:rPr>
      </w:pPr>
      <w:r w:rsidRPr="001A1104">
        <w:rPr>
          <w:rFonts w:cs="Times New Roman"/>
          <w:color w:val="000000"/>
          <w:sz w:val="24"/>
          <w:szCs w:val="24"/>
        </w:rPr>
        <w:t>Responsable de 20% des IMA, se voit dans toutes les situations pouvant induire une vasoconstriction splanchnique : hypovolemie (état de choc, bas débit cardiaque, effort intense et prolongé, hémodialyse, clampage vasculaire…), vasoconstricteurs splanchniques (cocaïne, amphétamine, noradrénaline, dérivés de l’ergot…)</w:t>
      </w:r>
    </w:p>
    <w:p w:rsidR="00687A07" w:rsidRPr="00687A07" w:rsidRDefault="00687A07" w:rsidP="00687A07">
      <w:pPr>
        <w:autoSpaceDE w:val="0"/>
        <w:autoSpaceDN w:val="0"/>
        <w:adjustRightInd w:val="0"/>
        <w:spacing w:after="0" w:line="240" w:lineRule="auto"/>
        <w:rPr>
          <w:rFonts w:cs="Times New Roman"/>
          <w:color w:val="000000"/>
          <w:sz w:val="28"/>
          <w:szCs w:val="28"/>
          <w:u w:val="single"/>
        </w:rPr>
      </w:pPr>
      <w:r w:rsidRPr="00C15424">
        <w:rPr>
          <w:rFonts w:cs="Times New Roman"/>
          <w:b/>
          <w:bCs/>
          <w:color w:val="000000"/>
          <w:sz w:val="28"/>
          <w:szCs w:val="28"/>
          <w:u w:val="single"/>
        </w:rPr>
        <w:t xml:space="preserve">VI. </w:t>
      </w:r>
      <w:r w:rsidRPr="00687A07">
        <w:rPr>
          <w:rFonts w:cs="Times New Roman"/>
          <w:b/>
          <w:bCs/>
          <w:color w:val="000000"/>
          <w:sz w:val="28"/>
          <w:szCs w:val="28"/>
          <w:u w:val="single"/>
        </w:rPr>
        <w:t xml:space="preserve">Diagnostic positif </w:t>
      </w:r>
    </w:p>
    <w:p w:rsidR="00687A07" w:rsidRPr="00687A07" w:rsidRDefault="00687A07" w:rsidP="000B16B8">
      <w:pPr>
        <w:autoSpaceDE w:val="0"/>
        <w:autoSpaceDN w:val="0"/>
        <w:adjustRightInd w:val="0"/>
        <w:spacing w:after="0" w:line="240" w:lineRule="auto"/>
        <w:rPr>
          <w:rFonts w:cs="Times New Roman"/>
          <w:color w:val="000000"/>
          <w:sz w:val="24"/>
          <w:szCs w:val="24"/>
        </w:rPr>
      </w:pPr>
      <w:r w:rsidRPr="00687A07">
        <w:rPr>
          <w:rFonts w:cs="Times New Roman"/>
          <w:color w:val="000000"/>
          <w:sz w:val="24"/>
          <w:szCs w:val="24"/>
        </w:rPr>
        <w:t xml:space="preserve">A l’encontre des idées reçues, la plupart des patients consultent au stade précoce potentiellement réversible, </w:t>
      </w:r>
      <w:r w:rsidRPr="00687A07">
        <w:rPr>
          <w:rFonts w:cs="Times New Roman"/>
          <w:b/>
          <w:bCs/>
          <w:color w:val="000000"/>
          <w:sz w:val="24"/>
          <w:szCs w:val="24"/>
        </w:rPr>
        <w:t>mais encore insuffisamment reconnu.</w:t>
      </w:r>
      <w:r w:rsidRPr="00687A07">
        <w:rPr>
          <w:rFonts w:cs="Times New Roman"/>
          <w:color w:val="000000"/>
          <w:sz w:val="24"/>
          <w:szCs w:val="24"/>
        </w:rPr>
        <w:t xml:space="preserve"> </w:t>
      </w:r>
    </w:p>
    <w:p w:rsidR="000B16B8" w:rsidRDefault="00687A07" w:rsidP="000B16B8">
      <w:pPr>
        <w:spacing w:line="240" w:lineRule="auto"/>
        <w:rPr>
          <w:rFonts w:cs="Times New Roman"/>
          <w:b/>
          <w:bCs/>
          <w:color w:val="000000"/>
          <w:sz w:val="24"/>
          <w:szCs w:val="24"/>
        </w:rPr>
      </w:pPr>
      <w:r w:rsidRPr="00687A07">
        <w:rPr>
          <w:rFonts w:cs="Times New Roman"/>
          <w:color w:val="000000"/>
          <w:sz w:val="24"/>
          <w:szCs w:val="24"/>
        </w:rPr>
        <w:t xml:space="preserve">Le diagnostic clinique de l’IMA est difficile à faire et est basé sur un faisceau d’arguments. La seule arme du clinicien reste sa suspicion diagnostique et sa confirmation par </w:t>
      </w:r>
      <w:r w:rsidRPr="00403078">
        <w:rPr>
          <w:rFonts w:cs="Times New Roman"/>
          <w:b/>
          <w:bCs/>
          <w:color w:val="000000"/>
          <w:sz w:val="24"/>
          <w:szCs w:val="24"/>
        </w:rPr>
        <w:t>l’Angioscanner abdominal.</w:t>
      </w:r>
    </w:p>
    <w:p w:rsidR="00B81645" w:rsidRPr="00B81645" w:rsidRDefault="00B81645" w:rsidP="000B16B8">
      <w:pPr>
        <w:spacing w:after="0" w:line="240" w:lineRule="auto"/>
        <w:rPr>
          <w:rFonts w:cstheme="majorBidi"/>
          <w:color w:val="000000"/>
          <w:sz w:val="24"/>
          <w:szCs w:val="24"/>
        </w:rPr>
      </w:pPr>
      <w:r w:rsidRPr="00B81645">
        <w:rPr>
          <w:rFonts w:cstheme="majorBidi"/>
          <w:b/>
          <w:bCs/>
          <w:color w:val="000000"/>
          <w:sz w:val="24"/>
          <w:szCs w:val="24"/>
        </w:rPr>
        <w:t xml:space="preserve">1- Clinique : </w:t>
      </w:r>
    </w:p>
    <w:p w:rsidR="00B81645" w:rsidRPr="00B81645" w:rsidRDefault="00B81645" w:rsidP="000B16B8">
      <w:pPr>
        <w:autoSpaceDE w:val="0"/>
        <w:autoSpaceDN w:val="0"/>
        <w:adjustRightInd w:val="0"/>
        <w:spacing w:after="0" w:line="240" w:lineRule="auto"/>
        <w:rPr>
          <w:rFonts w:cstheme="majorBidi"/>
          <w:color w:val="000000"/>
          <w:sz w:val="24"/>
          <w:szCs w:val="24"/>
        </w:rPr>
      </w:pPr>
      <w:r w:rsidRPr="00B81645">
        <w:rPr>
          <w:rFonts w:cstheme="majorBidi"/>
          <w:color w:val="000000"/>
          <w:sz w:val="24"/>
          <w:szCs w:val="24"/>
        </w:rPr>
        <w:t xml:space="preserve">- La présence d’un terrain cardiovasculaire ou thromboembolique oriente fortement le diagnostic mais ce dernier peut manquer, notamment chez le sujet jeune, et ne doit en aucun cas éliminer le diagnostic d’IMA. </w:t>
      </w:r>
    </w:p>
    <w:p w:rsidR="00B81645" w:rsidRPr="00B81645" w:rsidRDefault="00B81645" w:rsidP="000B16B8">
      <w:pPr>
        <w:autoSpaceDE w:val="0"/>
        <w:autoSpaceDN w:val="0"/>
        <w:adjustRightInd w:val="0"/>
        <w:spacing w:after="0" w:line="240" w:lineRule="auto"/>
        <w:rPr>
          <w:rFonts w:cstheme="majorBidi"/>
          <w:color w:val="000000"/>
          <w:sz w:val="24"/>
          <w:szCs w:val="24"/>
        </w:rPr>
      </w:pPr>
      <w:r w:rsidRPr="00B81645">
        <w:rPr>
          <w:rFonts w:cstheme="majorBidi"/>
          <w:color w:val="000000"/>
          <w:sz w:val="24"/>
          <w:szCs w:val="24"/>
        </w:rPr>
        <w:t>- la douleur abdominale est le maitre symptôme, elle peut être inaugurale ou succéder à un angor mésentérique. Elle est typiquement brutale, intense et résistante aux antalgiques non opiacés, continue et sans répit, de siège peri</w:t>
      </w:r>
      <w:r w:rsidR="006C6DFC">
        <w:rPr>
          <w:rFonts w:cstheme="majorBidi"/>
          <w:color w:val="000000"/>
          <w:sz w:val="24"/>
          <w:szCs w:val="24"/>
        </w:rPr>
        <w:t>-</w:t>
      </w:r>
      <w:r w:rsidRPr="00B81645">
        <w:rPr>
          <w:rFonts w:cstheme="majorBidi"/>
          <w:color w:val="000000"/>
          <w:sz w:val="24"/>
          <w:szCs w:val="24"/>
        </w:rPr>
        <w:t>omb</w:t>
      </w:r>
      <w:r w:rsidR="006C6DFC">
        <w:rPr>
          <w:rFonts w:cstheme="majorBidi"/>
          <w:color w:val="000000"/>
          <w:sz w:val="24"/>
          <w:szCs w:val="24"/>
        </w:rPr>
        <w:t>i</w:t>
      </w:r>
      <w:r w:rsidRPr="00B81645">
        <w:rPr>
          <w:rFonts w:cstheme="majorBidi"/>
          <w:color w:val="000000"/>
          <w:sz w:val="24"/>
          <w:szCs w:val="24"/>
        </w:rPr>
        <w:t xml:space="preserve">licale ou diffuse, contrastant avec une palpation abdominale initialement faussement rassurante. </w:t>
      </w:r>
    </w:p>
    <w:p w:rsidR="00B81645" w:rsidRPr="00B81645" w:rsidRDefault="00B81645" w:rsidP="000B16B8">
      <w:pPr>
        <w:autoSpaceDE w:val="0"/>
        <w:autoSpaceDN w:val="0"/>
        <w:adjustRightInd w:val="0"/>
        <w:spacing w:after="0" w:line="240" w:lineRule="auto"/>
        <w:rPr>
          <w:rFonts w:cstheme="majorBidi"/>
          <w:color w:val="000000"/>
          <w:sz w:val="24"/>
          <w:szCs w:val="24"/>
        </w:rPr>
      </w:pPr>
      <w:r w:rsidRPr="00B81645">
        <w:rPr>
          <w:rFonts w:cstheme="majorBidi"/>
          <w:color w:val="000000"/>
          <w:sz w:val="24"/>
          <w:szCs w:val="24"/>
        </w:rPr>
        <w:t xml:space="preserve">- Il peut s’y associer des vomissements (30%), une diarrhée (20%) ou encore une hémorragie digestive basse. </w:t>
      </w:r>
    </w:p>
    <w:p w:rsidR="00B81645" w:rsidRPr="00B81645" w:rsidRDefault="00B81645" w:rsidP="000B16B8">
      <w:pPr>
        <w:autoSpaceDE w:val="0"/>
        <w:autoSpaceDN w:val="0"/>
        <w:adjustRightInd w:val="0"/>
        <w:spacing w:after="0" w:line="240" w:lineRule="auto"/>
        <w:rPr>
          <w:rFonts w:cstheme="majorBidi"/>
          <w:color w:val="000000"/>
          <w:sz w:val="24"/>
          <w:szCs w:val="24"/>
        </w:rPr>
      </w:pPr>
      <w:r w:rsidRPr="00B81645">
        <w:rPr>
          <w:rFonts w:cstheme="majorBidi"/>
          <w:color w:val="000000"/>
          <w:sz w:val="24"/>
          <w:szCs w:val="24"/>
        </w:rPr>
        <w:t xml:space="preserve">- Le tableau peut être trompeur et les symptômes peuvent être absents dans 20% des cas. </w:t>
      </w:r>
    </w:p>
    <w:p w:rsidR="0070409F" w:rsidRPr="0070409F" w:rsidRDefault="0070409F" w:rsidP="000B16B8">
      <w:pPr>
        <w:autoSpaceDE w:val="0"/>
        <w:autoSpaceDN w:val="0"/>
        <w:adjustRightInd w:val="0"/>
        <w:spacing w:after="0" w:line="240" w:lineRule="auto"/>
        <w:rPr>
          <w:rFonts w:cs="Times New Roman"/>
          <w:color w:val="000000"/>
          <w:sz w:val="24"/>
          <w:szCs w:val="24"/>
        </w:rPr>
      </w:pPr>
      <w:r w:rsidRPr="0070409F">
        <w:rPr>
          <w:rFonts w:cs="Times New Roman"/>
          <w:b/>
          <w:bCs/>
          <w:color w:val="000000"/>
          <w:sz w:val="24"/>
          <w:szCs w:val="24"/>
        </w:rPr>
        <w:t xml:space="preserve">2- La biologie : </w:t>
      </w:r>
    </w:p>
    <w:p w:rsidR="0070409F" w:rsidRPr="0070409F" w:rsidRDefault="0070409F" w:rsidP="0070409F">
      <w:pPr>
        <w:autoSpaceDE w:val="0"/>
        <w:autoSpaceDN w:val="0"/>
        <w:adjustRightInd w:val="0"/>
        <w:spacing w:after="0" w:line="240" w:lineRule="auto"/>
        <w:rPr>
          <w:rFonts w:cs="Times New Roman"/>
          <w:color w:val="000000"/>
          <w:sz w:val="24"/>
          <w:szCs w:val="24"/>
        </w:rPr>
      </w:pPr>
      <w:r w:rsidRPr="0070409F">
        <w:rPr>
          <w:rFonts w:cs="Times New Roman"/>
          <w:color w:val="000000"/>
          <w:sz w:val="24"/>
          <w:szCs w:val="24"/>
        </w:rPr>
        <w:t xml:space="preserve">Aucun marqueur biologique ne permet à lui seul d’affirmer ou d’infirmer le diagnostic </w:t>
      </w:r>
    </w:p>
    <w:p w:rsidR="0070409F" w:rsidRPr="0070409F" w:rsidRDefault="0070409F" w:rsidP="0070409F">
      <w:pPr>
        <w:autoSpaceDE w:val="0"/>
        <w:autoSpaceDN w:val="0"/>
        <w:adjustRightInd w:val="0"/>
        <w:spacing w:after="0" w:line="240" w:lineRule="auto"/>
        <w:rPr>
          <w:rFonts w:cs="Times New Roman"/>
          <w:color w:val="000000"/>
          <w:sz w:val="24"/>
          <w:szCs w:val="24"/>
        </w:rPr>
      </w:pPr>
      <w:r w:rsidRPr="0070409F">
        <w:rPr>
          <w:rFonts w:cs="Times New Roman"/>
          <w:color w:val="000000"/>
          <w:sz w:val="24"/>
          <w:szCs w:val="24"/>
        </w:rPr>
        <w:t xml:space="preserve">- Les marqueurs de l’inflammatoires et/ ou d’infection sont sensibles mais manquent de spécificité </w:t>
      </w:r>
    </w:p>
    <w:p w:rsidR="0070409F" w:rsidRPr="0070409F" w:rsidRDefault="0070409F" w:rsidP="0070409F">
      <w:pPr>
        <w:autoSpaceDE w:val="0"/>
        <w:autoSpaceDN w:val="0"/>
        <w:adjustRightInd w:val="0"/>
        <w:spacing w:after="0" w:line="240" w:lineRule="auto"/>
        <w:rPr>
          <w:rFonts w:cs="Times New Roman"/>
          <w:color w:val="000000"/>
          <w:sz w:val="24"/>
          <w:szCs w:val="24"/>
        </w:rPr>
      </w:pPr>
      <w:r w:rsidRPr="0070409F">
        <w:rPr>
          <w:rFonts w:cs="Times New Roman"/>
          <w:color w:val="000000"/>
          <w:sz w:val="24"/>
          <w:szCs w:val="24"/>
        </w:rPr>
        <w:t xml:space="preserve">- L’augmentation </w:t>
      </w:r>
      <w:r w:rsidRPr="0070409F">
        <w:rPr>
          <w:rFonts w:cs="Times New Roman"/>
          <w:b/>
          <w:bCs/>
          <w:color w:val="000000"/>
          <w:sz w:val="24"/>
          <w:szCs w:val="24"/>
        </w:rPr>
        <w:t>des Lactates dan</w:t>
      </w:r>
      <w:r w:rsidR="00D268A0">
        <w:rPr>
          <w:rFonts w:cs="Times New Roman"/>
          <w:b/>
          <w:bCs/>
          <w:color w:val="000000"/>
          <w:sz w:val="24"/>
          <w:szCs w:val="24"/>
        </w:rPr>
        <w:t>s</w:t>
      </w:r>
      <w:r w:rsidRPr="0070409F">
        <w:rPr>
          <w:rFonts w:cs="Times New Roman"/>
          <w:b/>
          <w:bCs/>
          <w:color w:val="000000"/>
          <w:sz w:val="24"/>
          <w:szCs w:val="24"/>
        </w:rPr>
        <w:t xml:space="preserve"> le sang est tardive</w:t>
      </w:r>
      <w:r w:rsidRPr="0070409F">
        <w:rPr>
          <w:rFonts w:cs="Times New Roman"/>
          <w:color w:val="000000"/>
          <w:sz w:val="24"/>
          <w:szCs w:val="24"/>
        </w:rPr>
        <w:t xml:space="preserve"> et </w:t>
      </w:r>
      <w:r w:rsidR="00C71762">
        <w:rPr>
          <w:rFonts w:cs="Times New Roman"/>
          <w:color w:val="000000"/>
          <w:sz w:val="24"/>
          <w:szCs w:val="24"/>
        </w:rPr>
        <w:t>c’</w:t>
      </w:r>
      <w:r w:rsidRPr="0070409F">
        <w:rPr>
          <w:rFonts w:cs="Times New Roman"/>
          <w:color w:val="000000"/>
          <w:sz w:val="24"/>
          <w:szCs w:val="24"/>
        </w:rPr>
        <w:t xml:space="preserve">est un marqueur de gravité et de nécrose.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b/>
          <w:bCs/>
          <w:color w:val="000000"/>
          <w:sz w:val="24"/>
          <w:szCs w:val="24"/>
        </w:rPr>
        <w:t xml:space="preserve">3- L’Angioscanner abdominal : </w:t>
      </w:r>
    </w:p>
    <w:p w:rsidR="00144870" w:rsidRPr="00144870" w:rsidRDefault="00144870" w:rsidP="006D6246">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Réalisé, en première intension et en urgence </w:t>
      </w:r>
      <w:r w:rsidR="006D6246">
        <w:rPr>
          <w:rFonts w:cs="Times New Roman"/>
          <w:color w:val="000000"/>
          <w:sz w:val="24"/>
          <w:szCs w:val="24"/>
        </w:rPr>
        <w:t>dés la suspicion du diagnostic.</w:t>
      </w:r>
    </w:p>
    <w:p w:rsidR="003F0246"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C’est l’examen de référence avec une sensibilité et une spécificité supérieur à 90%, il permet de faire le diagnostic :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Positif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Etiologique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Topographique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Différentiel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De gravité </w:t>
      </w:r>
    </w:p>
    <w:p w:rsidR="00DF7874" w:rsidRDefault="00DF7874" w:rsidP="00144870">
      <w:pPr>
        <w:autoSpaceDE w:val="0"/>
        <w:autoSpaceDN w:val="0"/>
        <w:adjustRightInd w:val="0"/>
        <w:spacing w:after="0" w:line="240" w:lineRule="auto"/>
        <w:rPr>
          <w:rFonts w:cs="Times New Roman"/>
          <w:color w:val="000000"/>
          <w:sz w:val="24"/>
          <w:szCs w:val="24"/>
        </w:rPr>
      </w:pPr>
    </w:p>
    <w:p w:rsidR="00DF7874" w:rsidRPr="00E36F00" w:rsidRDefault="00144870" w:rsidP="00144870">
      <w:pPr>
        <w:autoSpaceDE w:val="0"/>
        <w:autoSpaceDN w:val="0"/>
        <w:adjustRightInd w:val="0"/>
        <w:spacing w:after="0" w:line="240" w:lineRule="auto"/>
        <w:rPr>
          <w:rFonts w:cs="Times New Roman"/>
          <w:b/>
          <w:bCs/>
          <w:color w:val="000000"/>
          <w:sz w:val="24"/>
          <w:szCs w:val="24"/>
        </w:rPr>
      </w:pPr>
      <w:r w:rsidRPr="00144870">
        <w:rPr>
          <w:rFonts w:cs="Times New Roman"/>
          <w:b/>
          <w:bCs/>
          <w:color w:val="000000"/>
          <w:sz w:val="24"/>
          <w:szCs w:val="24"/>
        </w:rPr>
        <w:lastRenderedPageBreak/>
        <w:t xml:space="preserve">Les signes de souffrance digestive incluent : </w:t>
      </w:r>
    </w:p>
    <w:p w:rsidR="00DF7874" w:rsidRDefault="00DF7874"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Un</w:t>
      </w:r>
      <w:r w:rsidR="00144870" w:rsidRPr="00144870">
        <w:rPr>
          <w:rFonts w:cs="Times New Roman"/>
          <w:color w:val="000000"/>
          <w:sz w:val="24"/>
          <w:szCs w:val="24"/>
        </w:rPr>
        <w:t xml:space="preserve"> épaississement ou un amincissement pariétal,</w:t>
      </w:r>
    </w:p>
    <w:p w:rsidR="00DF7874"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w:t>
      </w:r>
      <w:r w:rsidR="00DF7874" w:rsidRPr="00144870">
        <w:rPr>
          <w:rFonts w:cs="Times New Roman"/>
          <w:color w:val="000000"/>
          <w:sz w:val="24"/>
          <w:szCs w:val="24"/>
        </w:rPr>
        <w:t>Une</w:t>
      </w:r>
      <w:r w:rsidRPr="00144870">
        <w:rPr>
          <w:rFonts w:cs="Times New Roman"/>
          <w:color w:val="000000"/>
          <w:sz w:val="24"/>
          <w:szCs w:val="24"/>
        </w:rPr>
        <w:t xml:space="preserve"> hyperhémie muqueuse ou au contraire un défaut de rehaussement ou un retard d’élimination du produit de contraste, </w:t>
      </w:r>
    </w:p>
    <w:p w:rsidR="00DF7874" w:rsidRDefault="00DF7874"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Un</w:t>
      </w:r>
      <w:r w:rsidR="00144870" w:rsidRPr="00144870">
        <w:rPr>
          <w:rFonts w:cs="Times New Roman"/>
          <w:color w:val="000000"/>
          <w:sz w:val="24"/>
          <w:szCs w:val="24"/>
        </w:rPr>
        <w:t xml:space="preserve"> hématome intra-mural, </w:t>
      </w:r>
    </w:p>
    <w:p w:rsidR="00144870" w:rsidRPr="00144870" w:rsidRDefault="00DF7874"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Une</w:t>
      </w:r>
      <w:r w:rsidR="00144870" w:rsidRPr="00144870">
        <w:rPr>
          <w:rFonts w:cs="Times New Roman"/>
          <w:color w:val="000000"/>
          <w:sz w:val="24"/>
          <w:szCs w:val="24"/>
        </w:rPr>
        <w:t xml:space="preserve"> pneumatose pariétale et/ ou une aéroportie. </w:t>
      </w:r>
    </w:p>
    <w:p w:rsidR="00CB3F33"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b/>
          <w:bCs/>
          <w:color w:val="000000"/>
          <w:sz w:val="24"/>
          <w:szCs w:val="24"/>
        </w:rPr>
        <w:t>Les signes évocateurs de nécrose intestinale sont :</w:t>
      </w:r>
      <w:r w:rsidRPr="00144870">
        <w:rPr>
          <w:rFonts w:cs="Times New Roman"/>
          <w:color w:val="000000"/>
          <w:sz w:val="24"/>
          <w:szCs w:val="24"/>
        </w:rPr>
        <w:t xml:space="preserve"> </w:t>
      </w:r>
    </w:p>
    <w:p w:rsidR="00CB3F33" w:rsidRDefault="00CB3F33"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Le</w:t>
      </w:r>
      <w:r w:rsidR="00144870" w:rsidRPr="00144870">
        <w:rPr>
          <w:rFonts w:cs="Times New Roman"/>
          <w:color w:val="000000"/>
          <w:sz w:val="24"/>
          <w:szCs w:val="24"/>
        </w:rPr>
        <w:t xml:space="preserve"> pneumopéritoine,</w:t>
      </w:r>
    </w:p>
    <w:p w:rsidR="00CB3F33"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 </w:t>
      </w:r>
      <w:r w:rsidR="00CB3F33" w:rsidRPr="00144870">
        <w:rPr>
          <w:rFonts w:cs="Times New Roman"/>
          <w:color w:val="000000"/>
          <w:sz w:val="24"/>
          <w:szCs w:val="24"/>
        </w:rPr>
        <w:t>La</w:t>
      </w:r>
      <w:r w:rsidRPr="00144870">
        <w:rPr>
          <w:rFonts w:cs="Times New Roman"/>
          <w:color w:val="000000"/>
          <w:sz w:val="24"/>
          <w:szCs w:val="24"/>
        </w:rPr>
        <w:t xml:space="preserve"> prise de contraste péritonéale, </w:t>
      </w:r>
    </w:p>
    <w:p w:rsidR="00CB3F33"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épanchement/collection, </w:t>
      </w:r>
    </w:p>
    <w:p w:rsidR="00CB3F33" w:rsidRDefault="00CB3F33"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Infiltration</w:t>
      </w:r>
      <w:r w:rsidR="00144870" w:rsidRPr="00144870">
        <w:rPr>
          <w:rFonts w:cs="Times New Roman"/>
          <w:color w:val="000000"/>
          <w:sz w:val="24"/>
          <w:szCs w:val="24"/>
        </w:rPr>
        <w:t xml:space="preserve"> du mésentère, </w:t>
      </w:r>
    </w:p>
    <w:p w:rsidR="00CB3F33" w:rsidRDefault="00CB3F33"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Absence</w:t>
      </w:r>
      <w:r w:rsidR="00144870" w:rsidRPr="00144870">
        <w:rPr>
          <w:rFonts w:cs="Times New Roman"/>
          <w:color w:val="000000"/>
          <w:sz w:val="24"/>
          <w:szCs w:val="24"/>
        </w:rPr>
        <w:t xml:space="preserve"> totale de prise de contraste sur une paroi intestinale amincie, </w:t>
      </w:r>
    </w:p>
    <w:p w:rsidR="00144870" w:rsidRPr="00144870" w:rsidRDefault="00CB3F33"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Dilatation</w:t>
      </w:r>
      <w:r w:rsidR="00144870" w:rsidRPr="00144870">
        <w:rPr>
          <w:rFonts w:cs="Times New Roman"/>
          <w:color w:val="000000"/>
          <w:sz w:val="24"/>
          <w:szCs w:val="24"/>
        </w:rPr>
        <w:t xml:space="preserve"> intestinale supérieure à 25mm. </w:t>
      </w:r>
    </w:p>
    <w:p w:rsidR="00144870" w:rsidRPr="00144870" w:rsidRDefault="00144870" w:rsidP="00144870">
      <w:pPr>
        <w:autoSpaceDE w:val="0"/>
        <w:autoSpaceDN w:val="0"/>
        <w:adjustRightInd w:val="0"/>
        <w:spacing w:after="0" w:line="240" w:lineRule="auto"/>
        <w:rPr>
          <w:rFonts w:cs="Times New Roman"/>
          <w:color w:val="000000"/>
          <w:sz w:val="24"/>
          <w:szCs w:val="24"/>
        </w:rPr>
      </w:pPr>
      <w:r w:rsidRPr="00144870">
        <w:rPr>
          <w:rFonts w:cs="Times New Roman"/>
          <w:color w:val="000000"/>
          <w:sz w:val="24"/>
          <w:szCs w:val="24"/>
        </w:rPr>
        <w:t xml:space="preserve">D’autres localisation ischémiques intra abdominales doivent être recherchées et sera en faveur dune origine embolique. </w:t>
      </w:r>
    </w:p>
    <w:p w:rsidR="00B81645" w:rsidRPr="00144870" w:rsidRDefault="00144870" w:rsidP="00144870">
      <w:pPr>
        <w:spacing w:line="240" w:lineRule="auto"/>
        <w:rPr>
          <w:rFonts w:cstheme="majorBidi"/>
          <w:color w:val="000000"/>
          <w:sz w:val="24"/>
          <w:szCs w:val="24"/>
        </w:rPr>
      </w:pPr>
      <w:r w:rsidRPr="00144870">
        <w:rPr>
          <w:rFonts w:cs="Times New Roman"/>
          <w:color w:val="000000"/>
          <w:sz w:val="24"/>
          <w:szCs w:val="24"/>
        </w:rPr>
        <w:t>Les autres examens, autre fois utiliser pour le diagnostic d’IMA comme l’ASP, l’échographie abdominale et l’artériographie, n’ont plus leur place actuellement. Quant à l’endoscopie digestive, elle n’est pas recommandée.</w:t>
      </w:r>
    </w:p>
    <w:p w:rsidR="00572E62" w:rsidRPr="00572E62" w:rsidRDefault="00572E62" w:rsidP="00572E62">
      <w:pPr>
        <w:autoSpaceDE w:val="0"/>
        <w:autoSpaceDN w:val="0"/>
        <w:adjustRightInd w:val="0"/>
        <w:spacing w:after="0" w:line="240" w:lineRule="auto"/>
        <w:rPr>
          <w:rFonts w:cs="Times New Roman"/>
          <w:color w:val="000000"/>
          <w:sz w:val="32"/>
          <w:szCs w:val="32"/>
          <w:u w:val="single"/>
        </w:rPr>
      </w:pPr>
      <w:r w:rsidRPr="00572E62">
        <w:rPr>
          <w:rFonts w:cs="Times New Roman"/>
          <w:b/>
          <w:bCs/>
          <w:color w:val="000000"/>
          <w:sz w:val="28"/>
          <w:szCs w:val="28"/>
          <w:u w:val="single"/>
        </w:rPr>
        <w:t>VII. Diagnostic différentiel</w:t>
      </w:r>
      <w:r w:rsidRPr="00572E62">
        <w:rPr>
          <w:rFonts w:cs="Times New Roman"/>
          <w:b/>
          <w:bCs/>
          <w:color w:val="000000"/>
          <w:sz w:val="32"/>
          <w:szCs w:val="32"/>
          <w:u w:val="single"/>
        </w:rPr>
        <w:t xml:space="preserve"> </w:t>
      </w:r>
    </w:p>
    <w:p w:rsidR="00572E62" w:rsidRPr="00572E62" w:rsidRDefault="00572E62" w:rsidP="00572E62">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Vu la non spécificité de la clinique, les symptômes peuvent être compatibles avec d’autre diagnostic : </w:t>
      </w:r>
    </w:p>
    <w:p w:rsidR="00572E62" w:rsidRPr="00572E62" w:rsidRDefault="00572E62" w:rsidP="00486575">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 Urgence chirurgicale abdominale : </w:t>
      </w:r>
      <w:r w:rsidR="00486575">
        <w:rPr>
          <w:rFonts w:cs="Times New Roman"/>
          <w:color w:val="000000"/>
          <w:sz w:val="24"/>
          <w:szCs w:val="24"/>
        </w:rPr>
        <w:t xml:space="preserve">occlusion intestinale aigue, </w:t>
      </w:r>
      <w:r w:rsidRPr="00572E62">
        <w:rPr>
          <w:rFonts w:cs="Times New Roman"/>
          <w:color w:val="000000"/>
          <w:sz w:val="24"/>
          <w:szCs w:val="24"/>
        </w:rPr>
        <w:t xml:space="preserve">cholécystite/angiocholite, perforation digestive </w:t>
      </w:r>
    </w:p>
    <w:p w:rsidR="00572E62" w:rsidRPr="00572E62" w:rsidRDefault="00572E62" w:rsidP="00572E62">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 Pancréatite aigue </w:t>
      </w:r>
    </w:p>
    <w:p w:rsidR="00572E62" w:rsidRPr="00572E62" w:rsidRDefault="00572E62" w:rsidP="00572E62">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 Anévrysme de l’aorte </w:t>
      </w:r>
    </w:p>
    <w:p w:rsidR="00572E62" w:rsidRPr="00572E62" w:rsidRDefault="00572E62" w:rsidP="00572E62">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 IDM inferieur </w:t>
      </w:r>
    </w:p>
    <w:p w:rsidR="00572E62" w:rsidRPr="00572E62" w:rsidRDefault="00572E62" w:rsidP="00572E62">
      <w:pPr>
        <w:autoSpaceDE w:val="0"/>
        <w:autoSpaceDN w:val="0"/>
        <w:adjustRightInd w:val="0"/>
        <w:spacing w:after="0" w:line="240" w:lineRule="auto"/>
        <w:rPr>
          <w:rFonts w:cs="Times New Roman"/>
          <w:color w:val="000000"/>
          <w:sz w:val="24"/>
          <w:szCs w:val="24"/>
        </w:rPr>
      </w:pPr>
      <w:r w:rsidRPr="00572E62">
        <w:rPr>
          <w:rFonts w:cs="Times New Roman"/>
          <w:color w:val="000000"/>
          <w:sz w:val="24"/>
          <w:szCs w:val="24"/>
        </w:rPr>
        <w:t xml:space="preserve">- Lithiase urinaire </w:t>
      </w:r>
    </w:p>
    <w:p w:rsidR="00110EB0" w:rsidRDefault="00572E62" w:rsidP="00572E62">
      <w:pPr>
        <w:spacing w:line="240" w:lineRule="auto"/>
        <w:rPr>
          <w:rFonts w:cs="Times New Roman"/>
          <w:color w:val="000000"/>
          <w:sz w:val="24"/>
          <w:szCs w:val="24"/>
        </w:rPr>
      </w:pPr>
      <w:r w:rsidRPr="00486575">
        <w:rPr>
          <w:rFonts w:cs="Times New Roman"/>
          <w:color w:val="000000"/>
          <w:sz w:val="24"/>
          <w:szCs w:val="24"/>
        </w:rPr>
        <w:t>- Acidose lactique</w:t>
      </w:r>
    </w:p>
    <w:p w:rsidR="009B4FFC" w:rsidRPr="009B4FFC" w:rsidRDefault="00D90374" w:rsidP="009B4FFC">
      <w:pPr>
        <w:autoSpaceDE w:val="0"/>
        <w:autoSpaceDN w:val="0"/>
        <w:adjustRightInd w:val="0"/>
        <w:spacing w:after="0" w:line="240" w:lineRule="auto"/>
        <w:rPr>
          <w:rFonts w:cs="Times New Roman"/>
          <w:color w:val="000000"/>
          <w:sz w:val="28"/>
          <w:szCs w:val="28"/>
        </w:rPr>
      </w:pPr>
      <w:r w:rsidRPr="003C6A58">
        <w:rPr>
          <w:rFonts w:cs="Times New Roman"/>
          <w:b/>
          <w:bCs/>
          <w:color w:val="000000"/>
          <w:sz w:val="28"/>
          <w:szCs w:val="28"/>
          <w:u w:val="single"/>
        </w:rPr>
        <w:t xml:space="preserve">VIII. </w:t>
      </w:r>
      <w:r w:rsidR="009B4FFC" w:rsidRPr="009B4FFC">
        <w:rPr>
          <w:rFonts w:cs="Times New Roman"/>
          <w:b/>
          <w:bCs/>
          <w:color w:val="000000"/>
          <w:sz w:val="28"/>
          <w:szCs w:val="28"/>
          <w:u w:val="single"/>
        </w:rPr>
        <w:t>Formes cliniques</w:t>
      </w:r>
      <w:r w:rsidR="009B4FFC" w:rsidRPr="009B4FFC">
        <w:rPr>
          <w:rFonts w:cs="Times New Roman"/>
          <w:b/>
          <w:bCs/>
          <w:color w:val="000000"/>
          <w:sz w:val="28"/>
          <w:szCs w:val="28"/>
        </w:rPr>
        <w:t xml:space="preserve">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b/>
          <w:bCs/>
          <w:color w:val="000000"/>
          <w:sz w:val="24"/>
          <w:szCs w:val="24"/>
        </w:rPr>
        <w:t xml:space="preserve"> </w:t>
      </w:r>
      <w:r w:rsidR="00F012B5">
        <w:rPr>
          <w:rFonts w:cs="Times New Roman"/>
          <w:b/>
          <w:bCs/>
          <w:color w:val="000000"/>
          <w:sz w:val="24"/>
          <w:szCs w:val="24"/>
        </w:rPr>
        <w:t xml:space="preserve">1- </w:t>
      </w:r>
      <w:r w:rsidRPr="009B4FFC">
        <w:rPr>
          <w:rFonts w:cs="Times New Roman"/>
          <w:b/>
          <w:bCs/>
          <w:color w:val="000000"/>
          <w:sz w:val="24"/>
          <w:szCs w:val="24"/>
        </w:rPr>
        <w:t xml:space="preserve">Formes évolutives :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b/>
          <w:bCs/>
          <w:color w:val="000000"/>
          <w:sz w:val="24"/>
          <w:szCs w:val="24"/>
        </w:rPr>
        <w:t xml:space="preserve">A- IMA au stade précoce :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C’est le stade où les lésions sont encore réversibles sans facteur prédictif de nécrose.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L’état général est conservé, il n’y a pas de signe de défaillance d’organe et l’examen de l’abdomen est sans particularité avec parfois une sensibilité et / ou un léger ballonnement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Cependant, cette forme ne doit pas rassurer le clinicien et le traitement doit être d’autant plus urgent et agressif que le malade va apparemment bien. Le début de la douleur signe le début du compte à rebours.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b/>
          <w:bCs/>
          <w:color w:val="000000"/>
          <w:sz w:val="24"/>
          <w:szCs w:val="24"/>
        </w:rPr>
        <w:t xml:space="preserve">B- IMA au stade tardif :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C’est le stade des lésions irréversibles avec installation de la nécrose.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L’état général du patient s’altère rapidement et apparaissent des signes de défaillance d’organe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Une défense ou contracture peut être retrouvée à l’examen de l’abdomen.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Les lactates sont augmentés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Les signes de nécrose intestinale et de péritonite sont objectivés au scanner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La résection chirurgicale s’impose sans délais et le pronostic est réservé à ce stade </w:t>
      </w:r>
    </w:p>
    <w:p w:rsidR="006722E1" w:rsidRDefault="006722E1" w:rsidP="009B4FFC">
      <w:pPr>
        <w:autoSpaceDE w:val="0"/>
        <w:autoSpaceDN w:val="0"/>
        <w:adjustRightInd w:val="0"/>
        <w:spacing w:after="0" w:line="240" w:lineRule="auto"/>
        <w:rPr>
          <w:rFonts w:cs="Times New Roman"/>
          <w:b/>
          <w:bCs/>
          <w:color w:val="000000"/>
          <w:sz w:val="24"/>
          <w:szCs w:val="24"/>
        </w:rPr>
      </w:pP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b/>
          <w:bCs/>
          <w:color w:val="000000"/>
          <w:sz w:val="24"/>
          <w:szCs w:val="24"/>
        </w:rPr>
        <w:lastRenderedPageBreak/>
        <w:t xml:space="preserve">C- Ischémie mésentérique chronique :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Elle est caractérisée par la triade symptomatique associant : </w:t>
      </w:r>
    </w:p>
    <w:p w:rsidR="009B4FFC" w:rsidRPr="009B4FFC" w:rsidRDefault="009B4FFC" w:rsidP="009B4FFC">
      <w:pPr>
        <w:autoSpaceDE w:val="0"/>
        <w:autoSpaceDN w:val="0"/>
        <w:adjustRightInd w:val="0"/>
        <w:spacing w:after="27" w:line="240" w:lineRule="auto"/>
        <w:rPr>
          <w:rFonts w:cs="Times New Roman"/>
          <w:color w:val="000000"/>
          <w:sz w:val="24"/>
          <w:szCs w:val="24"/>
        </w:rPr>
      </w:pPr>
      <w:r w:rsidRPr="009B4FFC">
        <w:rPr>
          <w:rFonts w:cs="Times New Roman"/>
          <w:color w:val="000000"/>
          <w:sz w:val="24"/>
          <w:szCs w:val="24"/>
        </w:rPr>
        <w:t xml:space="preserve">- Douleurs abdominales per ou postprandiales précoces, entrainant ; </w:t>
      </w:r>
    </w:p>
    <w:p w:rsidR="009B4FFC" w:rsidRPr="009B4FFC" w:rsidRDefault="009B4FFC" w:rsidP="009B4FFC">
      <w:pPr>
        <w:autoSpaceDE w:val="0"/>
        <w:autoSpaceDN w:val="0"/>
        <w:adjustRightInd w:val="0"/>
        <w:spacing w:after="27" w:line="240" w:lineRule="auto"/>
        <w:rPr>
          <w:rFonts w:cs="Times New Roman"/>
          <w:color w:val="000000"/>
          <w:sz w:val="24"/>
          <w:szCs w:val="24"/>
        </w:rPr>
      </w:pPr>
      <w:r w:rsidRPr="009B4FFC">
        <w:rPr>
          <w:rFonts w:cs="Times New Roman"/>
          <w:color w:val="000000"/>
          <w:sz w:val="24"/>
          <w:szCs w:val="24"/>
        </w:rPr>
        <w:t xml:space="preserve">- Une restriction alimentaire antalgique (peur alimentaire), entrainant ; </w:t>
      </w:r>
    </w:p>
    <w:p w:rsidR="009B4FFC" w:rsidRPr="009B4FFC" w:rsidRDefault="009B4FFC" w:rsidP="009B4FFC">
      <w:pPr>
        <w:autoSpaceDE w:val="0"/>
        <w:autoSpaceDN w:val="0"/>
        <w:adjustRightInd w:val="0"/>
        <w:spacing w:after="0" w:line="240" w:lineRule="auto"/>
        <w:rPr>
          <w:rFonts w:cs="Times New Roman"/>
          <w:color w:val="000000"/>
          <w:sz w:val="24"/>
          <w:szCs w:val="24"/>
        </w:rPr>
      </w:pPr>
      <w:r w:rsidRPr="009B4FFC">
        <w:rPr>
          <w:rFonts w:cs="Times New Roman"/>
          <w:color w:val="000000"/>
          <w:sz w:val="24"/>
          <w:szCs w:val="24"/>
        </w:rPr>
        <w:t xml:space="preserve">- Une perte de poids. </w:t>
      </w:r>
    </w:p>
    <w:p w:rsidR="006722E1" w:rsidRPr="006722E1" w:rsidRDefault="006722E1" w:rsidP="006722E1">
      <w:pPr>
        <w:autoSpaceDE w:val="0"/>
        <w:autoSpaceDN w:val="0"/>
        <w:adjustRightInd w:val="0"/>
        <w:spacing w:after="0" w:line="240" w:lineRule="auto"/>
        <w:rPr>
          <w:rFonts w:cs="Times New Roman"/>
          <w:color w:val="000000"/>
          <w:sz w:val="24"/>
          <w:szCs w:val="24"/>
        </w:rPr>
      </w:pPr>
      <w:r w:rsidRPr="006722E1">
        <w:rPr>
          <w:rFonts w:cs="Times New Roman"/>
          <w:color w:val="000000"/>
          <w:sz w:val="24"/>
          <w:szCs w:val="24"/>
        </w:rPr>
        <w:t xml:space="preserve">L’examen clinique est peu contributif mais doit rechercher un souffle systolique abdominal ; </w:t>
      </w:r>
    </w:p>
    <w:p w:rsidR="006722E1" w:rsidRPr="006722E1" w:rsidRDefault="006722E1" w:rsidP="006722E1">
      <w:pPr>
        <w:autoSpaceDE w:val="0"/>
        <w:autoSpaceDN w:val="0"/>
        <w:adjustRightInd w:val="0"/>
        <w:spacing w:after="0" w:line="240" w:lineRule="auto"/>
        <w:rPr>
          <w:rFonts w:cs="Times New Roman"/>
          <w:color w:val="000000"/>
          <w:sz w:val="24"/>
          <w:szCs w:val="24"/>
        </w:rPr>
      </w:pPr>
      <w:r w:rsidRPr="006722E1">
        <w:rPr>
          <w:rFonts w:cs="Times New Roman"/>
          <w:color w:val="000000"/>
          <w:sz w:val="24"/>
          <w:szCs w:val="24"/>
        </w:rPr>
        <w:t xml:space="preserve">Peut se manifester par des forme atypique : pseudo-occlusif, pseudo-inflammatoire ou sans perte de poids. </w:t>
      </w:r>
    </w:p>
    <w:p w:rsidR="00C70DFD" w:rsidRDefault="006722E1" w:rsidP="006722E1">
      <w:pPr>
        <w:spacing w:line="240" w:lineRule="auto"/>
        <w:rPr>
          <w:rFonts w:cs="Times New Roman"/>
          <w:color w:val="000000"/>
          <w:sz w:val="24"/>
          <w:szCs w:val="24"/>
        </w:rPr>
      </w:pPr>
      <w:r w:rsidRPr="002640E7">
        <w:rPr>
          <w:rFonts w:cs="Times New Roman"/>
          <w:color w:val="000000"/>
          <w:sz w:val="24"/>
          <w:szCs w:val="24"/>
        </w:rPr>
        <w:t>Peut se compliquer d’un épisode aigu d’IMA, de trouble fonctionnel, de lésions souvent ulcérée de la muqueuse intestinale</w:t>
      </w:r>
      <w:r w:rsidR="00ED6A12">
        <w:rPr>
          <w:rFonts w:cs="Times New Roman"/>
          <w:color w:val="000000"/>
          <w:sz w:val="24"/>
          <w:szCs w:val="24"/>
        </w:rPr>
        <w:t>.</w:t>
      </w:r>
    </w:p>
    <w:p w:rsidR="00C722CA" w:rsidRPr="00367897" w:rsidRDefault="00F07802" w:rsidP="00F07802">
      <w:pPr>
        <w:pStyle w:val="Default"/>
      </w:pPr>
      <w:r w:rsidRPr="00367897">
        <w:rPr>
          <w:b/>
          <w:bCs/>
        </w:rPr>
        <w:t>2- formes é</w:t>
      </w:r>
      <w:r w:rsidR="00C722CA" w:rsidRPr="00367897">
        <w:rPr>
          <w:b/>
          <w:bCs/>
        </w:rPr>
        <w:t>tiologi</w:t>
      </w:r>
      <w:r w:rsidRPr="00367897">
        <w:rPr>
          <w:b/>
          <w:bCs/>
        </w:rPr>
        <w:t>ques</w:t>
      </w:r>
      <w:r w:rsidR="00367897">
        <w:rPr>
          <w:b/>
          <w:bCs/>
        </w:rPr>
        <w:t> :</w:t>
      </w:r>
      <w:r w:rsidR="00C722CA" w:rsidRPr="00367897">
        <w:rPr>
          <w:b/>
          <w:bCs/>
        </w:rPr>
        <w:t xml:space="preserve"> </w:t>
      </w:r>
    </w:p>
    <w:p w:rsidR="00C722CA" w:rsidRPr="00DB72E5" w:rsidRDefault="00C722CA" w:rsidP="00DB72E5">
      <w:pPr>
        <w:pStyle w:val="Default"/>
      </w:pPr>
      <w:r w:rsidRPr="00DB72E5">
        <w:rPr>
          <w:b/>
          <w:bCs/>
        </w:rPr>
        <w:t xml:space="preserve">A. Ischémie par lésions vasculaires </w:t>
      </w:r>
    </w:p>
    <w:p w:rsidR="00C722CA" w:rsidRPr="00C722CA" w:rsidRDefault="00C722CA" w:rsidP="00C722CA">
      <w:pPr>
        <w:pStyle w:val="Default"/>
        <w:rPr>
          <w:rFonts w:ascii="Times New Roman" w:hAnsi="Times New Roman" w:cs="Times New Roman"/>
        </w:rPr>
      </w:pPr>
      <w:r>
        <w:rPr>
          <w:rFonts w:ascii="Wingdings" w:hAnsi="Wingdings" w:cs="Wingdings"/>
          <w:sz w:val="28"/>
          <w:szCs w:val="28"/>
        </w:rPr>
        <w:t></w:t>
      </w:r>
      <w:r>
        <w:rPr>
          <w:rFonts w:ascii="Wingdings" w:hAnsi="Wingdings" w:cs="Wingdings"/>
          <w:sz w:val="28"/>
          <w:szCs w:val="28"/>
        </w:rPr>
        <w:t></w:t>
      </w:r>
      <w:r w:rsidRPr="00C722CA">
        <w:rPr>
          <w:rFonts w:asciiTheme="minorHAnsi" w:hAnsiTheme="minorHAnsi" w:cs="Times New Roman"/>
        </w:rPr>
        <w:t>Obstruction de l’artère mésentérique supérieure</w:t>
      </w:r>
      <w:r w:rsidR="0098250D">
        <w:rPr>
          <w:rFonts w:asciiTheme="minorHAnsi" w:hAnsiTheme="minorHAnsi" w:cs="Times New Roman"/>
        </w:rPr>
        <w:t> </w:t>
      </w:r>
      <w:r w:rsidR="0098250D">
        <w:rPr>
          <w:rFonts w:ascii="Times New Roman" w:hAnsi="Times New Roman" w:cs="Times New Roman"/>
        </w:rPr>
        <w:t>:</w:t>
      </w:r>
    </w:p>
    <w:p w:rsidR="00C722CA" w:rsidRPr="0098250D" w:rsidRDefault="00C722CA" w:rsidP="0098250D">
      <w:pPr>
        <w:pStyle w:val="Default"/>
      </w:pPr>
      <w:r>
        <w:rPr>
          <w:sz w:val="28"/>
          <w:szCs w:val="28"/>
        </w:rPr>
        <w:t xml:space="preserve">- </w:t>
      </w:r>
      <w:r w:rsidRPr="0098250D">
        <w:t xml:space="preserve">Embolie : le point de départ est le </w:t>
      </w:r>
      <w:r w:rsidR="001B30D7" w:rsidRPr="0098250D">
        <w:t>cœur</w:t>
      </w:r>
      <w:r w:rsidRPr="0098250D">
        <w:t xml:space="preserve"> gauche soit par atteinte valvulaire (rétrécissement mitral), arythmie complète par fibrillation auriculaire (ACFA), migration d’une plaque d’athérome ulcérée</w:t>
      </w:r>
      <w:r w:rsidR="00772E8E">
        <w:t>.</w:t>
      </w:r>
      <w:r w:rsidRPr="0098250D">
        <w:t xml:space="preserve"> </w:t>
      </w:r>
    </w:p>
    <w:p w:rsidR="00091A20" w:rsidRDefault="00C722CA" w:rsidP="009006F0">
      <w:pPr>
        <w:pStyle w:val="Default"/>
      </w:pPr>
      <w:r w:rsidRPr="0098250D">
        <w:t>- Thrombose aigüe : c’est la conséquence d’une sténose serrée d’origine athéromateuse se compliquant de thrombose à l’occasion d’un bas débit d’origine cardiaque (infarctus, troubles du rythme) ou périphérique (hypovolémie), rarement artériopathies non-athéroscléroses (Takayasu,</w:t>
      </w:r>
      <w:r w:rsidR="001B30D7" w:rsidRPr="001B30D7">
        <w:rPr>
          <w:sz w:val="28"/>
          <w:szCs w:val="28"/>
        </w:rPr>
        <w:t xml:space="preserve"> </w:t>
      </w:r>
      <w:r w:rsidR="001B30D7" w:rsidRPr="001B30D7">
        <w:t>angéite et vascularites nécrosantes</w:t>
      </w:r>
      <w:r w:rsidR="003300AC">
        <w:t>)</w:t>
      </w:r>
      <w:r w:rsidR="001B30D7" w:rsidRPr="001B30D7">
        <w:t xml:space="preserve">, </w:t>
      </w:r>
      <w:r w:rsidR="003300AC">
        <w:t xml:space="preserve">Thromboses postopératoires ; </w:t>
      </w:r>
      <w:r w:rsidR="001B30D7" w:rsidRPr="001B30D7">
        <w:t>Thromboses post-chimiothérapie</w:t>
      </w:r>
      <w:r w:rsidR="009006F0">
        <w:t xml:space="preserve">, </w:t>
      </w:r>
      <w:r w:rsidR="001B30D7" w:rsidRPr="001B30D7">
        <w:t>Thromboses associées à des pathologies tumorales</w:t>
      </w:r>
      <w:r w:rsidR="009006F0">
        <w:t>.</w:t>
      </w:r>
    </w:p>
    <w:p w:rsidR="00BE1C75" w:rsidRDefault="00BE1C75" w:rsidP="00F33AF0">
      <w:pPr>
        <w:pStyle w:val="Default"/>
        <w:numPr>
          <w:ilvl w:val="0"/>
          <w:numId w:val="4"/>
        </w:numPr>
      </w:pPr>
      <w:r>
        <w:t xml:space="preserve">Obstruction de la veine mésentérique supérieure 10% </w:t>
      </w:r>
    </w:p>
    <w:p w:rsidR="00BE1C75" w:rsidRPr="00F33AF0" w:rsidRDefault="00BE1C75" w:rsidP="00BE1C75">
      <w:pPr>
        <w:pStyle w:val="Default"/>
      </w:pPr>
      <w:r w:rsidRPr="00F33AF0">
        <w:t xml:space="preserve">Foyers infectieux abdominaux : appendicite, cholécystite, angiocholite… </w:t>
      </w:r>
    </w:p>
    <w:p w:rsidR="00BE1C75" w:rsidRPr="00F33AF0" w:rsidRDefault="00BE1C75" w:rsidP="00BE1C75">
      <w:pPr>
        <w:pStyle w:val="Default"/>
      </w:pPr>
      <w:r w:rsidRPr="00F33AF0">
        <w:t>Troubles de la coagulation : déficit en protéine S et C, désordres plaquettaires</w:t>
      </w:r>
      <w:r w:rsidR="00772E8E">
        <w:t>.</w:t>
      </w:r>
      <w:r w:rsidRPr="00F33AF0">
        <w:t xml:space="preserve"> </w:t>
      </w:r>
    </w:p>
    <w:p w:rsidR="00BE1C75" w:rsidRPr="00F33AF0" w:rsidRDefault="00BE1C75" w:rsidP="00BE1C75">
      <w:pPr>
        <w:pStyle w:val="Default"/>
      </w:pPr>
      <w:r w:rsidRPr="00F33AF0">
        <w:t>Maladies hématologiques : drépanocytose, polyglobulies</w:t>
      </w:r>
      <w:r w:rsidR="00772E8E">
        <w:t>.</w:t>
      </w:r>
      <w:r w:rsidRPr="00F33AF0">
        <w:t xml:space="preserve"> </w:t>
      </w:r>
    </w:p>
    <w:p w:rsidR="00BE1C75" w:rsidRPr="00F33AF0" w:rsidRDefault="00BE1C75" w:rsidP="00BE1C75">
      <w:pPr>
        <w:pStyle w:val="Default"/>
      </w:pPr>
      <w:r w:rsidRPr="00F33AF0">
        <w:t>Causes mécaniques : hypertension portale</w:t>
      </w:r>
      <w:r w:rsidR="00772E8E">
        <w:t>.</w:t>
      </w:r>
      <w:r w:rsidRPr="00F33AF0">
        <w:t xml:space="preserve"> </w:t>
      </w:r>
    </w:p>
    <w:p w:rsidR="00BE1C75" w:rsidRPr="00F33AF0" w:rsidRDefault="00BE1C75" w:rsidP="00BE1C75">
      <w:pPr>
        <w:pStyle w:val="Default"/>
      </w:pPr>
      <w:r w:rsidRPr="00F33AF0">
        <w:t xml:space="preserve">Causes traumatiques (contusions et plaies) ou opératoires (splénectomie) </w:t>
      </w:r>
    </w:p>
    <w:p w:rsidR="00BE1C75" w:rsidRPr="00F33AF0" w:rsidRDefault="00BE1C75" w:rsidP="00BE1C75">
      <w:pPr>
        <w:pStyle w:val="Default"/>
      </w:pPr>
      <w:r w:rsidRPr="00F33AF0">
        <w:t>Désordres hormonaux : traite</w:t>
      </w:r>
      <w:r w:rsidR="00197FE6">
        <w:t>ment contraceptif, accouchement.</w:t>
      </w:r>
    </w:p>
    <w:p w:rsidR="00BE1C75" w:rsidRPr="00F33AF0" w:rsidRDefault="00BE1C75" w:rsidP="00BE1C75">
      <w:pPr>
        <w:pStyle w:val="Default"/>
      </w:pPr>
      <w:r w:rsidRPr="00F33AF0">
        <w:t xml:space="preserve">Idiopathique : 10% </w:t>
      </w:r>
    </w:p>
    <w:p w:rsidR="00CF45FE" w:rsidRPr="00F33AF0" w:rsidRDefault="00CF45FE" w:rsidP="00CF45FE">
      <w:pPr>
        <w:pStyle w:val="Default"/>
        <w:ind w:left="45"/>
        <w:rPr>
          <w:b/>
          <w:bCs/>
          <w:sz w:val="28"/>
          <w:szCs w:val="28"/>
        </w:rPr>
      </w:pPr>
      <w:r w:rsidRPr="00F33AF0">
        <w:rPr>
          <w:b/>
          <w:bCs/>
        </w:rPr>
        <w:t>B</w:t>
      </w:r>
      <w:r w:rsidR="00BE1C75" w:rsidRPr="00F33AF0">
        <w:rPr>
          <w:b/>
          <w:bCs/>
        </w:rPr>
        <w:t>. Ischémie sans lésions vasculaires</w:t>
      </w:r>
      <w:r w:rsidR="00BE1C75" w:rsidRPr="00F33AF0">
        <w:rPr>
          <w:b/>
          <w:bCs/>
          <w:sz w:val="28"/>
          <w:szCs w:val="28"/>
        </w:rPr>
        <w:t xml:space="preserve"> : </w:t>
      </w:r>
    </w:p>
    <w:p w:rsidR="00C722CA" w:rsidRPr="006B7B0F" w:rsidRDefault="00F33AF0" w:rsidP="00CF45FE">
      <w:pPr>
        <w:pStyle w:val="Default"/>
        <w:ind w:left="45"/>
        <w:rPr>
          <w:rFonts w:cs="Times New Roman"/>
        </w:rPr>
      </w:pPr>
      <w:r w:rsidRPr="006B7B0F">
        <w:t>Bas</w:t>
      </w:r>
      <w:r w:rsidR="00BE1C75" w:rsidRPr="006B7B0F">
        <w:t xml:space="preserve"> débit splanchnique accompagné d’une vasoconstriction splanchnique chez des patients en état très précaire, déséquilibre circulatoire dont l’origine est diverse : cardiaque (IDM), hypovolémies graves, postopératoires (circulation extracorporelle)</w:t>
      </w:r>
    </w:p>
    <w:p w:rsidR="00DC0484" w:rsidRDefault="00DC0484" w:rsidP="002C675C">
      <w:pPr>
        <w:autoSpaceDE w:val="0"/>
        <w:autoSpaceDN w:val="0"/>
        <w:adjustRightInd w:val="0"/>
        <w:spacing w:after="0" w:line="240" w:lineRule="auto"/>
        <w:rPr>
          <w:rFonts w:cs="Times New Roman"/>
          <w:b/>
          <w:bCs/>
          <w:color w:val="000000"/>
          <w:sz w:val="28"/>
          <w:szCs w:val="28"/>
          <w:u w:val="single"/>
        </w:rPr>
      </w:pPr>
    </w:p>
    <w:p w:rsidR="002C675C" w:rsidRPr="002C675C" w:rsidRDefault="002C675C" w:rsidP="002C675C">
      <w:pPr>
        <w:autoSpaceDE w:val="0"/>
        <w:autoSpaceDN w:val="0"/>
        <w:adjustRightInd w:val="0"/>
        <w:spacing w:after="0" w:line="240" w:lineRule="auto"/>
        <w:rPr>
          <w:rFonts w:cs="Times New Roman"/>
          <w:color w:val="000000"/>
          <w:sz w:val="28"/>
          <w:szCs w:val="28"/>
          <w:u w:val="single"/>
        </w:rPr>
      </w:pPr>
      <w:r w:rsidRPr="00413883">
        <w:rPr>
          <w:rFonts w:cs="Times New Roman"/>
          <w:b/>
          <w:bCs/>
          <w:color w:val="000000"/>
          <w:sz w:val="28"/>
          <w:szCs w:val="28"/>
          <w:u w:val="single"/>
        </w:rPr>
        <w:t xml:space="preserve">IX. </w:t>
      </w:r>
      <w:r w:rsidRPr="002C675C">
        <w:rPr>
          <w:rFonts w:cs="Times New Roman"/>
          <w:b/>
          <w:bCs/>
          <w:color w:val="000000"/>
          <w:sz w:val="28"/>
          <w:szCs w:val="28"/>
          <w:u w:val="single"/>
        </w:rPr>
        <w:t xml:space="preserve">Diagnostic de gravité </w:t>
      </w:r>
    </w:p>
    <w:p w:rsidR="002C675C" w:rsidRPr="002C675C" w:rsidRDefault="002C675C" w:rsidP="002C675C">
      <w:pPr>
        <w:autoSpaceDE w:val="0"/>
        <w:autoSpaceDN w:val="0"/>
        <w:adjustRightInd w:val="0"/>
        <w:spacing w:after="0" w:line="240" w:lineRule="auto"/>
        <w:rPr>
          <w:rFonts w:cs="Times New Roman"/>
          <w:color w:val="000000"/>
          <w:sz w:val="24"/>
          <w:szCs w:val="24"/>
        </w:rPr>
      </w:pPr>
      <w:r w:rsidRPr="002C675C">
        <w:rPr>
          <w:rFonts w:cs="Times New Roman"/>
          <w:color w:val="000000"/>
          <w:sz w:val="24"/>
          <w:szCs w:val="24"/>
        </w:rPr>
        <w:t xml:space="preserve">En absence de traitement adapté, l’IMA est constamment mortelle. En dépit d’un traitement adapté, la mortalité varie de 40%( ischémie veineuse) à plus de 80%( ischémie artérielle) </w:t>
      </w:r>
    </w:p>
    <w:p w:rsidR="002C675C" w:rsidRPr="002C675C" w:rsidRDefault="002C675C" w:rsidP="002C675C">
      <w:pPr>
        <w:autoSpaceDE w:val="0"/>
        <w:autoSpaceDN w:val="0"/>
        <w:adjustRightInd w:val="0"/>
        <w:spacing w:after="0" w:line="240" w:lineRule="auto"/>
        <w:rPr>
          <w:rFonts w:cs="Times New Roman"/>
          <w:color w:val="000000"/>
          <w:sz w:val="24"/>
          <w:szCs w:val="24"/>
        </w:rPr>
      </w:pPr>
      <w:r w:rsidRPr="002C675C">
        <w:rPr>
          <w:rFonts w:cs="Times New Roman"/>
          <w:color w:val="000000"/>
          <w:sz w:val="24"/>
          <w:szCs w:val="24"/>
        </w:rPr>
        <w:t xml:space="preserve">Les principaux facteurs pronostic sont : </w:t>
      </w:r>
    </w:p>
    <w:p w:rsidR="002C675C" w:rsidRPr="002C675C" w:rsidRDefault="002C675C" w:rsidP="002C675C">
      <w:pPr>
        <w:autoSpaceDE w:val="0"/>
        <w:autoSpaceDN w:val="0"/>
        <w:adjustRightInd w:val="0"/>
        <w:spacing w:after="27" w:line="240" w:lineRule="auto"/>
        <w:rPr>
          <w:rFonts w:cs="Times New Roman"/>
          <w:color w:val="000000"/>
          <w:sz w:val="24"/>
          <w:szCs w:val="24"/>
        </w:rPr>
      </w:pPr>
      <w:r w:rsidRPr="002C675C">
        <w:rPr>
          <w:rFonts w:cs="Times New Roman"/>
          <w:color w:val="000000"/>
          <w:sz w:val="24"/>
          <w:szCs w:val="24"/>
        </w:rPr>
        <w:t xml:space="preserve">- La précocité du traitement </w:t>
      </w:r>
    </w:p>
    <w:p w:rsidR="002C675C" w:rsidRPr="002C675C" w:rsidRDefault="002C675C" w:rsidP="002C675C">
      <w:pPr>
        <w:autoSpaceDE w:val="0"/>
        <w:autoSpaceDN w:val="0"/>
        <w:adjustRightInd w:val="0"/>
        <w:spacing w:after="27" w:line="240" w:lineRule="auto"/>
        <w:rPr>
          <w:rFonts w:cs="Times New Roman"/>
          <w:color w:val="000000"/>
          <w:sz w:val="24"/>
          <w:szCs w:val="24"/>
        </w:rPr>
      </w:pPr>
      <w:r w:rsidRPr="002C675C">
        <w:rPr>
          <w:rFonts w:cs="Times New Roman"/>
          <w:color w:val="000000"/>
          <w:sz w:val="24"/>
          <w:szCs w:val="24"/>
        </w:rPr>
        <w:t xml:space="preserve">- Le mécanisme de l’ischémie </w:t>
      </w:r>
    </w:p>
    <w:p w:rsidR="002C675C" w:rsidRPr="002C675C" w:rsidRDefault="002C675C" w:rsidP="002C675C">
      <w:pPr>
        <w:autoSpaceDE w:val="0"/>
        <w:autoSpaceDN w:val="0"/>
        <w:adjustRightInd w:val="0"/>
        <w:spacing w:after="0" w:line="240" w:lineRule="auto"/>
        <w:rPr>
          <w:rFonts w:cs="Times New Roman"/>
          <w:color w:val="000000"/>
          <w:sz w:val="24"/>
          <w:szCs w:val="24"/>
        </w:rPr>
      </w:pPr>
      <w:r w:rsidRPr="002C675C">
        <w:rPr>
          <w:rFonts w:cs="Times New Roman"/>
          <w:color w:val="000000"/>
          <w:sz w:val="24"/>
          <w:szCs w:val="24"/>
        </w:rPr>
        <w:t xml:space="preserve">- L’âge et terrain du patient </w:t>
      </w:r>
    </w:p>
    <w:p w:rsidR="009F1872" w:rsidRDefault="002C675C" w:rsidP="00743690">
      <w:pPr>
        <w:spacing w:after="0" w:line="240" w:lineRule="auto"/>
        <w:rPr>
          <w:rFonts w:cs="Times New Roman"/>
          <w:color w:val="000000"/>
          <w:sz w:val="24"/>
          <w:szCs w:val="24"/>
        </w:rPr>
      </w:pPr>
      <w:r w:rsidRPr="00413883">
        <w:rPr>
          <w:rFonts w:cs="Times New Roman"/>
          <w:color w:val="000000"/>
          <w:sz w:val="24"/>
          <w:szCs w:val="24"/>
        </w:rPr>
        <w:t xml:space="preserve">Le diagnostic au stade tardif de nécrose et de péritonite explique le fort taux de mortalité et la prévalence du syndrome de l’intestin court chez les survivants. </w:t>
      </w:r>
    </w:p>
    <w:p w:rsidR="00ED6A12" w:rsidRDefault="002C675C" w:rsidP="00743690">
      <w:pPr>
        <w:spacing w:after="0" w:line="240" w:lineRule="auto"/>
        <w:rPr>
          <w:rFonts w:cs="Times New Roman"/>
          <w:color w:val="000000"/>
          <w:sz w:val="24"/>
          <w:szCs w:val="24"/>
        </w:rPr>
      </w:pPr>
      <w:r w:rsidRPr="00413883">
        <w:rPr>
          <w:rFonts w:cs="Times New Roman"/>
          <w:color w:val="000000"/>
          <w:sz w:val="24"/>
          <w:szCs w:val="24"/>
        </w:rPr>
        <w:t>Trois éléments sont associés à la présence d’une nécrose irréversible :</w:t>
      </w:r>
    </w:p>
    <w:p w:rsidR="00743690" w:rsidRPr="00743690" w:rsidRDefault="00D13231" w:rsidP="00743690">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 </w:t>
      </w:r>
      <w:r w:rsidR="00743690" w:rsidRPr="00743690">
        <w:rPr>
          <w:rFonts w:cs="Times New Roman"/>
          <w:color w:val="000000"/>
          <w:sz w:val="24"/>
          <w:szCs w:val="24"/>
        </w:rPr>
        <w:t xml:space="preserve">Présence d’une ou de plusieurs défaillance d’organe </w:t>
      </w:r>
    </w:p>
    <w:p w:rsidR="00743690" w:rsidRPr="00743690" w:rsidRDefault="00743690" w:rsidP="00743690">
      <w:pPr>
        <w:autoSpaceDE w:val="0"/>
        <w:autoSpaceDN w:val="0"/>
        <w:adjustRightInd w:val="0"/>
        <w:spacing w:after="0" w:line="240" w:lineRule="auto"/>
        <w:rPr>
          <w:rFonts w:cs="Times New Roman"/>
          <w:color w:val="000000"/>
          <w:sz w:val="24"/>
          <w:szCs w:val="24"/>
        </w:rPr>
      </w:pPr>
      <w:r w:rsidRPr="00743690">
        <w:rPr>
          <w:rFonts w:cs="Times New Roman"/>
          <w:color w:val="000000"/>
          <w:sz w:val="24"/>
          <w:szCs w:val="24"/>
        </w:rPr>
        <w:lastRenderedPageBreak/>
        <w:t xml:space="preserve">- Augmentation des Lactates sériques supérieure à 2mmol/l </w:t>
      </w:r>
    </w:p>
    <w:p w:rsidR="00743690" w:rsidRPr="00743690" w:rsidRDefault="00743690" w:rsidP="00743690">
      <w:pPr>
        <w:autoSpaceDE w:val="0"/>
        <w:autoSpaceDN w:val="0"/>
        <w:adjustRightInd w:val="0"/>
        <w:spacing w:after="0" w:line="240" w:lineRule="auto"/>
        <w:rPr>
          <w:rFonts w:cs="Times New Roman"/>
          <w:color w:val="000000"/>
          <w:sz w:val="24"/>
          <w:szCs w:val="24"/>
        </w:rPr>
      </w:pPr>
      <w:r w:rsidRPr="00743690">
        <w:rPr>
          <w:rFonts w:cs="Times New Roman"/>
          <w:color w:val="000000"/>
          <w:sz w:val="24"/>
          <w:szCs w:val="24"/>
        </w:rPr>
        <w:t xml:space="preserve">- Dilatation intestinale supérieure à 25mm </w:t>
      </w:r>
    </w:p>
    <w:p w:rsidR="00743690" w:rsidRDefault="00743690" w:rsidP="00743690">
      <w:pPr>
        <w:spacing w:after="0" w:line="240" w:lineRule="auto"/>
        <w:rPr>
          <w:rFonts w:cs="Times New Roman"/>
          <w:color w:val="000000"/>
          <w:sz w:val="24"/>
          <w:szCs w:val="24"/>
        </w:rPr>
      </w:pPr>
      <w:r w:rsidRPr="00743690">
        <w:rPr>
          <w:rFonts w:cs="Times New Roman"/>
          <w:color w:val="000000"/>
          <w:sz w:val="24"/>
          <w:szCs w:val="24"/>
        </w:rPr>
        <w:t>Le taux de nécrose intestinale passe de 3% en absence de ces facteurs à 38%, 89%, 100% en présence d’un, de deux ou trois facteurs. Ces éléments permettent de définir ainsi les deux stades de la maladie.</w:t>
      </w:r>
    </w:p>
    <w:p w:rsidR="00EF6E2A" w:rsidRDefault="00EF6E2A" w:rsidP="00743690">
      <w:pPr>
        <w:spacing w:after="0" w:line="240" w:lineRule="auto"/>
        <w:rPr>
          <w:rFonts w:cs="Times New Roman"/>
          <w:color w:val="000000"/>
          <w:sz w:val="24"/>
          <w:szCs w:val="24"/>
        </w:rPr>
      </w:pPr>
    </w:p>
    <w:p w:rsidR="00EF6E2A" w:rsidRPr="00EF6E2A" w:rsidRDefault="00EF6E2A" w:rsidP="00EF6E2A">
      <w:pPr>
        <w:autoSpaceDE w:val="0"/>
        <w:autoSpaceDN w:val="0"/>
        <w:adjustRightInd w:val="0"/>
        <w:spacing w:after="0" w:line="240" w:lineRule="auto"/>
        <w:rPr>
          <w:rFonts w:cs="Times New Roman"/>
          <w:color w:val="000000"/>
          <w:sz w:val="28"/>
          <w:szCs w:val="28"/>
          <w:u w:val="single"/>
        </w:rPr>
      </w:pPr>
      <w:r w:rsidRPr="00EF6E2A">
        <w:rPr>
          <w:rFonts w:cs="Times New Roman"/>
          <w:b/>
          <w:bCs/>
          <w:color w:val="000000"/>
          <w:sz w:val="28"/>
          <w:szCs w:val="28"/>
          <w:u w:val="single"/>
        </w:rPr>
        <w:t xml:space="preserve">X. Traitement  </w:t>
      </w:r>
    </w:p>
    <w:p w:rsidR="007F4A5E" w:rsidRDefault="00EF6E2A" w:rsidP="007F4A5E">
      <w:pPr>
        <w:autoSpaceDE w:val="0"/>
        <w:autoSpaceDN w:val="0"/>
        <w:adjustRightInd w:val="0"/>
        <w:spacing w:after="0" w:line="240" w:lineRule="auto"/>
        <w:rPr>
          <w:rFonts w:cs="Times New Roman"/>
          <w:color w:val="000000"/>
          <w:sz w:val="24"/>
          <w:szCs w:val="24"/>
        </w:rPr>
      </w:pPr>
      <w:r w:rsidRPr="00EF6E2A">
        <w:rPr>
          <w:rFonts w:cs="Times New Roman"/>
          <w:color w:val="000000"/>
          <w:sz w:val="24"/>
          <w:szCs w:val="24"/>
        </w:rPr>
        <w:t>Le traitement doit être instauré précocement. La prise en charge est multidisciplinaire</w:t>
      </w:r>
      <w:r w:rsidR="00E67C2C">
        <w:rPr>
          <w:rFonts w:cs="Times New Roman"/>
          <w:color w:val="000000"/>
          <w:sz w:val="24"/>
          <w:szCs w:val="24"/>
        </w:rPr>
        <w:t>.</w:t>
      </w:r>
      <w:r w:rsidRPr="00EF6E2A">
        <w:rPr>
          <w:rFonts w:cs="Times New Roman"/>
          <w:color w:val="000000"/>
          <w:sz w:val="24"/>
          <w:szCs w:val="24"/>
        </w:rPr>
        <w:t xml:space="preserve"> </w:t>
      </w:r>
    </w:p>
    <w:p w:rsidR="00EF6E2A" w:rsidRPr="00EF6E2A" w:rsidRDefault="00EF6E2A" w:rsidP="00EF6E2A">
      <w:pPr>
        <w:autoSpaceDE w:val="0"/>
        <w:autoSpaceDN w:val="0"/>
        <w:adjustRightInd w:val="0"/>
        <w:spacing w:after="0" w:line="240" w:lineRule="auto"/>
        <w:rPr>
          <w:rFonts w:cs="Times New Roman"/>
          <w:color w:val="000000"/>
          <w:sz w:val="24"/>
          <w:szCs w:val="24"/>
        </w:rPr>
      </w:pPr>
      <w:r w:rsidRPr="00EF6E2A">
        <w:rPr>
          <w:rFonts w:cs="Times New Roman"/>
          <w:color w:val="000000"/>
          <w:sz w:val="24"/>
          <w:szCs w:val="24"/>
        </w:rPr>
        <w:t xml:space="preserve">La stratégie thérapeutique vise simultanément trois objectifs : </w:t>
      </w:r>
    </w:p>
    <w:p w:rsidR="00EF6E2A" w:rsidRPr="00EF6E2A" w:rsidRDefault="00EF6E2A" w:rsidP="00EF6E2A">
      <w:pPr>
        <w:autoSpaceDE w:val="0"/>
        <w:autoSpaceDN w:val="0"/>
        <w:adjustRightInd w:val="0"/>
        <w:spacing w:after="28" w:line="240" w:lineRule="auto"/>
        <w:rPr>
          <w:rFonts w:cs="Times New Roman"/>
          <w:color w:val="000000"/>
          <w:sz w:val="24"/>
          <w:szCs w:val="24"/>
        </w:rPr>
      </w:pPr>
      <w:r w:rsidRPr="00EF6E2A">
        <w:rPr>
          <w:rFonts w:cs="Times New Roman"/>
          <w:color w:val="000000"/>
          <w:sz w:val="24"/>
          <w:szCs w:val="24"/>
        </w:rPr>
        <w:t xml:space="preserve">- Prévenir l’aggravation, le SIRS et les défaillances d’organes par un protocole médical multimodal ; </w:t>
      </w:r>
    </w:p>
    <w:p w:rsidR="00EF6E2A" w:rsidRPr="00EF6E2A" w:rsidRDefault="00EF6E2A" w:rsidP="00EF6E2A">
      <w:pPr>
        <w:autoSpaceDE w:val="0"/>
        <w:autoSpaceDN w:val="0"/>
        <w:adjustRightInd w:val="0"/>
        <w:spacing w:after="28" w:line="240" w:lineRule="auto"/>
        <w:rPr>
          <w:rFonts w:cs="Times New Roman"/>
          <w:color w:val="000000"/>
          <w:sz w:val="24"/>
          <w:szCs w:val="24"/>
        </w:rPr>
      </w:pPr>
      <w:r w:rsidRPr="00EF6E2A">
        <w:rPr>
          <w:rFonts w:cs="Times New Roman"/>
          <w:color w:val="000000"/>
          <w:sz w:val="24"/>
          <w:szCs w:val="24"/>
        </w:rPr>
        <w:t xml:space="preserve">- Préserver l’intestin non nécrotique par une revascularisation ; </w:t>
      </w:r>
    </w:p>
    <w:p w:rsidR="00EF6E2A" w:rsidRPr="00EF6E2A" w:rsidRDefault="00EF6E2A" w:rsidP="00EF6E2A">
      <w:pPr>
        <w:autoSpaceDE w:val="0"/>
        <w:autoSpaceDN w:val="0"/>
        <w:adjustRightInd w:val="0"/>
        <w:spacing w:after="0" w:line="240" w:lineRule="auto"/>
        <w:rPr>
          <w:rFonts w:cs="Times New Roman"/>
          <w:color w:val="000000"/>
          <w:sz w:val="24"/>
          <w:szCs w:val="24"/>
        </w:rPr>
      </w:pPr>
      <w:r w:rsidRPr="00EF6E2A">
        <w:rPr>
          <w:rFonts w:cs="Times New Roman"/>
          <w:color w:val="000000"/>
          <w:sz w:val="24"/>
          <w:szCs w:val="24"/>
        </w:rPr>
        <w:t xml:space="preserve">- Réséquer la nécrose intestinale. </w:t>
      </w:r>
    </w:p>
    <w:p w:rsidR="00EF6E2A" w:rsidRDefault="00EF6E2A" w:rsidP="00EF6E2A">
      <w:pPr>
        <w:spacing w:after="0" w:line="240" w:lineRule="auto"/>
        <w:rPr>
          <w:rFonts w:cs="Times New Roman"/>
          <w:color w:val="000000"/>
          <w:sz w:val="24"/>
          <w:szCs w:val="24"/>
        </w:rPr>
      </w:pPr>
      <w:r w:rsidRPr="00336FA9">
        <w:rPr>
          <w:rFonts w:cs="Times New Roman"/>
          <w:color w:val="000000"/>
          <w:sz w:val="24"/>
          <w:szCs w:val="24"/>
        </w:rPr>
        <w:t xml:space="preserve">Plusieurs axes thérapeutiques sont alors mis en </w:t>
      </w:r>
      <w:r w:rsidR="00336FA9" w:rsidRPr="00336FA9">
        <w:rPr>
          <w:rFonts w:cs="Times New Roman"/>
          <w:color w:val="000000"/>
          <w:sz w:val="24"/>
          <w:szCs w:val="24"/>
        </w:rPr>
        <w:t>œuvre</w:t>
      </w:r>
      <w:r w:rsidRPr="00336FA9">
        <w:rPr>
          <w:rFonts w:cs="Times New Roman"/>
          <w:color w:val="000000"/>
          <w:sz w:val="24"/>
          <w:szCs w:val="24"/>
        </w:rPr>
        <w:t xml:space="preserve">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b/>
          <w:bCs/>
          <w:color w:val="000000"/>
          <w:sz w:val="24"/>
          <w:szCs w:val="24"/>
        </w:rPr>
        <w:t xml:space="preserve">1- Mesures générale de réanimation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Prise de voies d’abord, Oxygénothérapie, Monitorage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Remplissage vasculaire même si l’état hémodynamique est conservé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Prise en charge de toute défaillance d’organe.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b/>
          <w:bCs/>
          <w:color w:val="000000"/>
          <w:sz w:val="24"/>
          <w:szCs w:val="24"/>
        </w:rPr>
        <w:t xml:space="preserve">2- Traitement médical modal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Dit « Anti-ischémique », il comprend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mise à jeun systématique des patients à la phase initiale, la reprise de l’alimentation orale ne sera envisagée qu’après revascularisation et disparition de la douleur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Inhibiteurs de la pompe à proton pour prévenir les ulcérations ischémiques ; </w:t>
      </w:r>
    </w:p>
    <w:p w:rsidR="00BB5886" w:rsidRPr="00BB5886" w:rsidRDefault="00BB5886" w:rsidP="00AC1524">
      <w:pPr>
        <w:autoSpaceDE w:val="0"/>
        <w:autoSpaceDN w:val="0"/>
        <w:adjustRightInd w:val="0"/>
        <w:spacing w:after="0" w:line="240" w:lineRule="auto"/>
        <w:rPr>
          <w:rFonts w:cs="Times New Roman"/>
          <w:color w:val="000000"/>
          <w:sz w:val="24"/>
          <w:szCs w:val="24"/>
        </w:rPr>
      </w:pP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Anti coagulation curative en cas de thrombose veineuse et préventive en cas de cause artérielle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Anti-agrégeant plaquettaire en cas de cause artérielle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Antibiothérapie par voie orale dont l’intérêt est : une limitation de la pullulation bactérienne, une prévention de la translocation bactérienne à l’origine du SIRS et de la défaillance d’organe, une meilleure biodisponibilité au niveau de l’intestin ischémié ; </w:t>
      </w:r>
    </w:p>
    <w:p w:rsidR="00BB5886" w:rsidRPr="00BB5886" w:rsidRDefault="00BB5886" w:rsidP="00AC1524">
      <w:pPr>
        <w:autoSpaceDE w:val="0"/>
        <w:autoSpaceDN w:val="0"/>
        <w:adjustRightInd w:val="0"/>
        <w:spacing w:after="0" w:line="240" w:lineRule="auto"/>
        <w:rPr>
          <w:rFonts w:cs="Times New Roman"/>
          <w:color w:val="000000"/>
          <w:sz w:val="24"/>
          <w:szCs w:val="24"/>
        </w:rPr>
      </w:pPr>
      <w:r w:rsidRPr="00BB5886">
        <w:rPr>
          <w:rFonts w:cs="Times New Roman"/>
          <w:color w:val="000000"/>
          <w:sz w:val="24"/>
          <w:szCs w:val="24"/>
        </w:rPr>
        <w:t xml:space="preserve">- Antibiothérapie par voie IV en cas de sepsis.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b/>
          <w:bCs/>
          <w:color w:val="000000"/>
          <w:sz w:val="24"/>
          <w:szCs w:val="24"/>
        </w:rPr>
        <w:t xml:space="preserve">3- Revascularisation percutanée :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Réalisée en 1ere intention chaque fois que c’est possible (disponible, territoire accessible par voie endovasculaire), en absence de complications, au stade précoce, sous : héparine non fractionné, aspirine et IPP.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La persistance de la douleur atteste de l’échec de revascularisation.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Les techniques habituelles comprennent : Thrombolyse, Thrombo-aspiration, Désobstruction mécanique, Stent, Angioplastie, Vasodilatateur intra-artériel.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b/>
          <w:bCs/>
          <w:color w:val="000000"/>
          <w:sz w:val="24"/>
          <w:szCs w:val="24"/>
        </w:rPr>
        <w:t xml:space="preserve">4- Traitement chirurgical :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Indiqué en cas de :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 Nécrose pour une résection en urgence ;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 Incertitude Dg ; </w:t>
      </w:r>
    </w:p>
    <w:p w:rsidR="00770AD3" w:rsidRPr="00770AD3" w:rsidRDefault="00770AD3" w:rsidP="00770AD3">
      <w:pPr>
        <w:autoSpaceDE w:val="0"/>
        <w:autoSpaceDN w:val="0"/>
        <w:adjustRightInd w:val="0"/>
        <w:spacing w:after="0" w:line="240" w:lineRule="auto"/>
        <w:rPr>
          <w:rFonts w:cs="Times New Roman"/>
          <w:color w:val="000000"/>
          <w:sz w:val="24"/>
          <w:szCs w:val="24"/>
        </w:rPr>
      </w:pPr>
      <w:r w:rsidRPr="00770AD3">
        <w:rPr>
          <w:rFonts w:cs="Times New Roman"/>
          <w:color w:val="000000"/>
          <w:sz w:val="24"/>
          <w:szCs w:val="24"/>
        </w:rPr>
        <w:t xml:space="preserve">- Echec du TRT radiologique. </w:t>
      </w:r>
    </w:p>
    <w:p w:rsidR="00BB5886" w:rsidRDefault="00770AD3" w:rsidP="00770AD3">
      <w:pPr>
        <w:spacing w:after="0" w:line="240" w:lineRule="auto"/>
        <w:rPr>
          <w:rFonts w:cs="Times New Roman"/>
          <w:color w:val="000000"/>
          <w:sz w:val="24"/>
          <w:szCs w:val="24"/>
        </w:rPr>
      </w:pPr>
      <w:r w:rsidRPr="00770AD3">
        <w:rPr>
          <w:rFonts w:cs="Times New Roman"/>
          <w:color w:val="000000"/>
          <w:sz w:val="24"/>
          <w:szCs w:val="24"/>
        </w:rPr>
        <w:t>Une laparotomie est réalisée en double équipe chirurgicale : digestive et vasculaire</w:t>
      </w:r>
      <w:r w:rsidR="002549D8">
        <w:rPr>
          <w:rFonts w:cs="Times New Roman"/>
          <w:color w:val="000000"/>
          <w:sz w:val="24"/>
          <w:szCs w:val="24"/>
        </w:rPr>
        <w:t>.</w:t>
      </w:r>
    </w:p>
    <w:p w:rsidR="005D2278" w:rsidRDefault="005D2278" w:rsidP="002549D8">
      <w:pPr>
        <w:autoSpaceDE w:val="0"/>
        <w:autoSpaceDN w:val="0"/>
        <w:adjustRightInd w:val="0"/>
        <w:spacing w:after="0" w:line="240" w:lineRule="auto"/>
        <w:rPr>
          <w:rFonts w:cs="Times New Roman"/>
          <w:b/>
          <w:bCs/>
          <w:color w:val="000000"/>
          <w:sz w:val="24"/>
          <w:szCs w:val="24"/>
        </w:rPr>
      </w:pPr>
    </w:p>
    <w:p w:rsidR="005D2278" w:rsidRDefault="005D2278" w:rsidP="002549D8">
      <w:pPr>
        <w:autoSpaceDE w:val="0"/>
        <w:autoSpaceDN w:val="0"/>
        <w:adjustRightInd w:val="0"/>
        <w:spacing w:after="0" w:line="240" w:lineRule="auto"/>
        <w:rPr>
          <w:rFonts w:cs="Times New Roman"/>
          <w:b/>
          <w:bCs/>
          <w:color w:val="000000"/>
          <w:sz w:val="24"/>
          <w:szCs w:val="24"/>
        </w:rPr>
      </w:pPr>
    </w:p>
    <w:p w:rsidR="00197FE6" w:rsidRDefault="00197FE6" w:rsidP="002549D8">
      <w:pPr>
        <w:autoSpaceDE w:val="0"/>
        <w:autoSpaceDN w:val="0"/>
        <w:adjustRightInd w:val="0"/>
        <w:spacing w:after="0" w:line="240" w:lineRule="auto"/>
        <w:rPr>
          <w:rFonts w:cs="Times New Roman"/>
          <w:b/>
          <w:bCs/>
          <w:color w:val="000000"/>
          <w:sz w:val="24"/>
          <w:szCs w:val="24"/>
        </w:rPr>
      </w:pPr>
    </w:p>
    <w:p w:rsidR="002549D8" w:rsidRPr="002549D8" w:rsidRDefault="002549D8" w:rsidP="002549D8">
      <w:pPr>
        <w:autoSpaceDE w:val="0"/>
        <w:autoSpaceDN w:val="0"/>
        <w:adjustRightInd w:val="0"/>
        <w:spacing w:after="0" w:line="240" w:lineRule="auto"/>
        <w:rPr>
          <w:rFonts w:cs="Times New Roman"/>
          <w:color w:val="000000"/>
          <w:sz w:val="24"/>
          <w:szCs w:val="24"/>
        </w:rPr>
      </w:pPr>
      <w:r w:rsidRPr="002549D8">
        <w:rPr>
          <w:rFonts w:cs="Times New Roman"/>
          <w:b/>
          <w:bCs/>
          <w:color w:val="000000"/>
          <w:sz w:val="24"/>
          <w:szCs w:val="24"/>
        </w:rPr>
        <w:lastRenderedPageBreak/>
        <w:t xml:space="preserve">A- Temps vasculaire : </w:t>
      </w:r>
    </w:p>
    <w:p w:rsidR="002549D8" w:rsidRPr="002549D8" w:rsidRDefault="002549D8" w:rsidP="002549D8">
      <w:pPr>
        <w:autoSpaceDE w:val="0"/>
        <w:autoSpaceDN w:val="0"/>
        <w:adjustRightInd w:val="0"/>
        <w:spacing w:after="0" w:line="240" w:lineRule="auto"/>
        <w:rPr>
          <w:rFonts w:cs="Times New Roman"/>
          <w:color w:val="000000"/>
          <w:sz w:val="24"/>
          <w:szCs w:val="24"/>
        </w:rPr>
      </w:pPr>
      <w:r w:rsidRPr="002549D8">
        <w:rPr>
          <w:rFonts w:cs="Times New Roman"/>
          <w:color w:val="000000"/>
          <w:sz w:val="24"/>
          <w:szCs w:val="24"/>
        </w:rPr>
        <w:t xml:space="preserve">Chaque fois que possible, une revascularisation endoluminale chirurgicale dans le même temps opératoire est proposée en première intention, idéalement avant le geste de résection, afin de préserver un maximum d’intestin viable. </w:t>
      </w:r>
    </w:p>
    <w:p w:rsidR="002549D8" w:rsidRPr="002549D8" w:rsidRDefault="002549D8" w:rsidP="00815BF2">
      <w:pPr>
        <w:autoSpaceDE w:val="0"/>
        <w:autoSpaceDN w:val="0"/>
        <w:adjustRightInd w:val="0"/>
        <w:spacing w:after="0" w:line="240" w:lineRule="auto"/>
        <w:rPr>
          <w:rFonts w:cs="Times New Roman"/>
          <w:color w:val="000000"/>
          <w:sz w:val="24"/>
          <w:szCs w:val="24"/>
        </w:rPr>
      </w:pPr>
      <w:r w:rsidRPr="002549D8">
        <w:rPr>
          <w:rFonts w:cs="Times New Roman"/>
          <w:color w:val="000000"/>
          <w:sz w:val="24"/>
          <w:szCs w:val="24"/>
        </w:rPr>
        <w:t xml:space="preserve">Les gestes habituellement réalisés sont : Désobstruction mécanique, Endarterectomie, Réimplantation artérielle, Pontage. </w:t>
      </w:r>
    </w:p>
    <w:p w:rsidR="002549D8" w:rsidRPr="002549D8" w:rsidRDefault="002549D8" w:rsidP="002549D8">
      <w:pPr>
        <w:autoSpaceDE w:val="0"/>
        <w:autoSpaceDN w:val="0"/>
        <w:adjustRightInd w:val="0"/>
        <w:spacing w:after="0" w:line="240" w:lineRule="auto"/>
        <w:rPr>
          <w:rFonts w:cs="Times New Roman"/>
          <w:color w:val="000000"/>
          <w:sz w:val="24"/>
          <w:szCs w:val="24"/>
        </w:rPr>
      </w:pPr>
      <w:r w:rsidRPr="002549D8">
        <w:rPr>
          <w:rFonts w:cs="Times New Roman"/>
          <w:b/>
          <w:bCs/>
          <w:color w:val="000000"/>
          <w:sz w:val="24"/>
          <w:szCs w:val="24"/>
        </w:rPr>
        <w:t xml:space="preserve">B- Temps digestive </w:t>
      </w:r>
      <w:r w:rsidRPr="002549D8">
        <w:rPr>
          <w:rFonts w:cs="Times New Roman"/>
          <w:color w:val="000000"/>
          <w:sz w:val="24"/>
          <w:szCs w:val="24"/>
        </w:rPr>
        <w:t xml:space="preserve">: </w:t>
      </w:r>
    </w:p>
    <w:p w:rsidR="002549D8" w:rsidRPr="002549D8" w:rsidRDefault="002549D8" w:rsidP="002549D8">
      <w:pPr>
        <w:autoSpaceDE w:val="0"/>
        <w:autoSpaceDN w:val="0"/>
        <w:adjustRightInd w:val="0"/>
        <w:spacing w:after="0" w:line="240" w:lineRule="auto"/>
        <w:rPr>
          <w:rFonts w:cs="Times New Roman"/>
          <w:color w:val="000000"/>
          <w:sz w:val="24"/>
          <w:szCs w:val="24"/>
        </w:rPr>
      </w:pPr>
      <w:r w:rsidRPr="002549D8">
        <w:rPr>
          <w:rFonts w:cs="Times New Roman"/>
          <w:color w:val="000000"/>
          <w:sz w:val="24"/>
          <w:szCs w:val="24"/>
        </w:rPr>
        <w:t xml:space="preserve">En présence de nécrose, les segments intestinaux nécrotiques sont réséqués et les segments sains sont mis en stomie, si possible dans le même orifice. </w:t>
      </w:r>
    </w:p>
    <w:p w:rsidR="002549D8" w:rsidRDefault="002549D8" w:rsidP="002549D8">
      <w:pPr>
        <w:spacing w:after="0" w:line="240" w:lineRule="auto"/>
        <w:rPr>
          <w:rFonts w:cs="Times New Roman"/>
          <w:color w:val="000000"/>
          <w:sz w:val="24"/>
          <w:szCs w:val="24"/>
        </w:rPr>
      </w:pPr>
      <w:r w:rsidRPr="002549D8">
        <w:rPr>
          <w:rFonts w:cs="Times New Roman"/>
          <w:color w:val="000000"/>
          <w:sz w:val="24"/>
          <w:szCs w:val="24"/>
        </w:rPr>
        <w:t>En cas de territoires intestinaux douteux, la résection n’est pas faite et une laparotomie de « second look » sera programmée 24-48 heures après pour s’assurer de la viabilité des anses.</w:t>
      </w:r>
    </w:p>
    <w:p w:rsidR="00A52610" w:rsidRDefault="00A52610" w:rsidP="002549D8">
      <w:pPr>
        <w:spacing w:after="0" w:line="240" w:lineRule="auto"/>
        <w:rPr>
          <w:rFonts w:cs="Times New Roman"/>
          <w:color w:val="000000"/>
          <w:sz w:val="24"/>
          <w:szCs w:val="24"/>
        </w:rPr>
      </w:pPr>
    </w:p>
    <w:p w:rsidR="00A52610" w:rsidRPr="00A52610" w:rsidRDefault="00A52610" w:rsidP="00A52610">
      <w:pPr>
        <w:autoSpaceDE w:val="0"/>
        <w:autoSpaceDN w:val="0"/>
        <w:adjustRightInd w:val="0"/>
        <w:spacing w:after="0" w:line="240" w:lineRule="auto"/>
        <w:rPr>
          <w:rFonts w:cs="Times New Roman"/>
          <w:color w:val="000000"/>
          <w:sz w:val="28"/>
          <w:szCs w:val="28"/>
          <w:u w:val="single"/>
        </w:rPr>
      </w:pPr>
      <w:r w:rsidRPr="00651CCB">
        <w:rPr>
          <w:rFonts w:cs="Times New Roman"/>
          <w:b/>
          <w:bCs/>
          <w:color w:val="000000"/>
          <w:sz w:val="28"/>
          <w:szCs w:val="28"/>
          <w:u w:val="single"/>
        </w:rPr>
        <w:t xml:space="preserve">XI. </w:t>
      </w:r>
      <w:r w:rsidRPr="00A52610">
        <w:rPr>
          <w:rFonts w:cs="Times New Roman"/>
          <w:b/>
          <w:bCs/>
          <w:color w:val="000000"/>
          <w:sz w:val="28"/>
          <w:szCs w:val="28"/>
          <w:u w:val="single"/>
        </w:rPr>
        <w:t xml:space="preserve">Conclusion  </w:t>
      </w:r>
    </w:p>
    <w:p w:rsidR="00B84753" w:rsidRDefault="00A52610" w:rsidP="00A52610">
      <w:pPr>
        <w:autoSpaceDE w:val="0"/>
        <w:autoSpaceDN w:val="0"/>
        <w:adjustRightInd w:val="0"/>
        <w:spacing w:after="0" w:line="240" w:lineRule="auto"/>
        <w:rPr>
          <w:rFonts w:cs="Times New Roman"/>
          <w:color w:val="000000"/>
          <w:sz w:val="24"/>
          <w:szCs w:val="24"/>
        </w:rPr>
      </w:pPr>
      <w:r w:rsidRPr="00A52610">
        <w:rPr>
          <w:rFonts w:cs="Times New Roman"/>
          <w:color w:val="000000"/>
          <w:sz w:val="24"/>
          <w:szCs w:val="24"/>
        </w:rPr>
        <w:t xml:space="preserve">L’IMA est une urgence médico-chirurgicale absolue, souvent sous-estimée mais grevée d’une morbi-mortalité majeur. </w:t>
      </w:r>
    </w:p>
    <w:p w:rsidR="00A52610" w:rsidRPr="00A52610" w:rsidRDefault="00A52610" w:rsidP="00A52610">
      <w:pPr>
        <w:autoSpaceDE w:val="0"/>
        <w:autoSpaceDN w:val="0"/>
        <w:adjustRightInd w:val="0"/>
        <w:spacing w:after="0" w:line="240" w:lineRule="auto"/>
        <w:rPr>
          <w:rFonts w:cs="Times New Roman"/>
          <w:color w:val="000000"/>
          <w:sz w:val="24"/>
          <w:szCs w:val="24"/>
        </w:rPr>
      </w:pPr>
      <w:r w:rsidRPr="00A52610">
        <w:rPr>
          <w:rFonts w:cs="Times New Roman"/>
          <w:color w:val="000000"/>
          <w:sz w:val="24"/>
          <w:szCs w:val="24"/>
        </w:rPr>
        <w:t xml:space="preserve">Son diagnostique est difficile à faire et repose sur un faisceau d’arguments. Cependant de nouveau biomarqueurs pourrait être proposés dans l’avenir pour faciliter le diagnostic. </w:t>
      </w:r>
    </w:p>
    <w:p w:rsidR="00A52610" w:rsidRDefault="00A52610" w:rsidP="00A52610">
      <w:pPr>
        <w:spacing w:after="0" w:line="240" w:lineRule="auto"/>
        <w:rPr>
          <w:rFonts w:cs="Times New Roman"/>
          <w:color w:val="000000"/>
          <w:sz w:val="24"/>
          <w:szCs w:val="24"/>
        </w:rPr>
      </w:pPr>
      <w:r w:rsidRPr="00A52610">
        <w:rPr>
          <w:rFonts w:cs="Times New Roman"/>
          <w:color w:val="000000"/>
          <w:sz w:val="24"/>
          <w:szCs w:val="24"/>
        </w:rPr>
        <w:t>La prise en charge doit être multidisciplinaire et tous les malades doivent bénéficier d’un protocole médical pour désamorcer les voies de l’inflammation sous l'effet de l’hypoxie.</w:t>
      </w:r>
    </w:p>
    <w:p w:rsidR="009936BA" w:rsidRDefault="009936BA" w:rsidP="00A52610">
      <w:pPr>
        <w:spacing w:after="0" w:line="240" w:lineRule="auto"/>
        <w:rPr>
          <w:rFonts w:cs="Times New Roman"/>
          <w:color w:val="000000"/>
          <w:sz w:val="24"/>
          <w:szCs w:val="24"/>
        </w:rPr>
      </w:pPr>
    </w:p>
    <w:p w:rsidR="009936BA" w:rsidRPr="00A52610" w:rsidRDefault="009936BA" w:rsidP="00A52610">
      <w:pPr>
        <w:spacing w:after="0" w:line="240" w:lineRule="auto"/>
        <w:rPr>
          <w:sz w:val="24"/>
          <w:szCs w:val="24"/>
        </w:rPr>
      </w:pPr>
    </w:p>
    <w:sectPr w:rsidR="009936BA" w:rsidRPr="00A52610" w:rsidSect="00E30C1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426" w:rsidRDefault="00411426" w:rsidP="00AF4A80">
      <w:pPr>
        <w:spacing w:after="0" w:line="240" w:lineRule="auto"/>
      </w:pPr>
      <w:r>
        <w:separator/>
      </w:r>
    </w:p>
  </w:endnote>
  <w:endnote w:type="continuationSeparator" w:id="1">
    <w:p w:rsidR="00411426" w:rsidRDefault="00411426" w:rsidP="00AF4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215"/>
      <w:docPartObj>
        <w:docPartGallery w:val="Page Numbers (Bottom of Page)"/>
        <w:docPartUnique/>
      </w:docPartObj>
    </w:sdtPr>
    <w:sdtContent>
      <w:sdt>
        <w:sdtPr>
          <w:id w:val="123787606"/>
          <w:docPartObj>
            <w:docPartGallery w:val="Page Numbers (Top of Page)"/>
            <w:docPartUnique/>
          </w:docPartObj>
        </w:sdtPr>
        <w:sdtContent>
          <w:p w:rsidR="00AF4A80" w:rsidRDefault="00AF4A80">
            <w:pPr>
              <w:pStyle w:val="Pieddepage"/>
              <w:jc w:val="right"/>
            </w:pPr>
            <w:r>
              <w:t xml:space="preserve">Page </w:t>
            </w:r>
            <w:r>
              <w:rPr>
                <w:b/>
                <w:sz w:val="24"/>
                <w:szCs w:val="24"/>
              </w:rPr>
              <w:fldChar w:fldCharType="begin"/>
            </w:r>
            <w:r>
              <w:rPr>
                <w:b/>
              </w:rPr>
              <w:instrText>PAGE</w:instrText>
            </w:r>
            <w:r>
              <w:rPr>
                <w:b/>
                <w:sz w:val="24"/>
                <w:szCs w:val="24"/>
              </w:rPr>
              <w:fldChar w:fldCharType="separate"/>
            </w:r>
            <w:r w:rsidR="00C71762">
              <w:rPr>
                <w:b/>
                <w:noProof/>
                <w:sz w:val="24"/>
                <w:szCs w:val="24"/>
              </w:rPr>
              <w:t>4</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C71762">
              <w:rPr>
                <w:b/>
                <w:noProof/>
                <w:sz w:val="24"/>
                <w:szCs w:val="24"/>
              </w:rPr>
              <w:t>8</w:t>
            </w:r>
            <w:r>
              <w:rPr>
                <w:b/>
                <w:sz w:val="24"/>
                <w:szCs w:val="24"/>
              </w:rPr>
              <w:fldChar w:fldCharType="end"/>
            </w:r>
          </w:p>
        </w:sdtContent>
      </w:sdt>
    </w:sdtContent>
  </w:sdt>
  <w:p w:rsidR="00AF4A80" w:rsidRDefault="00AF4A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426" w:rsidRDefault="00411426" w:rsidP="00AF4A80">
      <w:pPr>
        <w:spacing w:after="0" w:line="240" w:lineRule="auto"/>
      </w:pPr>
      <w:r>
        <w:separator/>
      </w:r>
    </w:p>
  </w:footnote>
  <w:footnote w:type="continuationSeparator" w:id="1">
    <w:p w:rsidR="00411426" w:rsidRDefault="00411426" w:rsidP="00AF4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B71"/>
    <w:multiLevelType w:val="hybridMultilevel"/>
    <w:tmpl w:val="84D0B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65596C"/>
    <w:multiLevelType w:val="hybridMultilevel"/>
    <w:tmpl w:val="7DE64C6A"/>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51B14C1E"/>
    <w:multiLevelType w:val="hybridMultilevel"/>
    <w:tmpl w:val="CDAA9A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99645C"/>
    <w:multiLevelType w:val="hybridMultilevel"/>
    <w:tmpl w:val="412831A8"/>
    <w:lvl w:ilvl="0" w:tplc="DB224D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7B87"/>
    <w:rsid w:val="00002739"/>
    <w:rsid w:val="0003780B"/>
    <w:rsid w:val="00041BDE"/>
    <w:rsid w:val="00045327"/>
    <w:rsid w:val="00047A55"/>
    <w:rsid w:val="00047B87"/>
    <w:rsid w:val="00091A20"/>
    <w:rsid w:val="000B16B8"/>
    <w:rsid w:val="000F43DC"/>
    <w:rsid w:val="00110EB0"/>
    <w:rsid w:val="00126ECC"/>
    <w:rsid w:val="00144870"/>
    <w:rsid w:val="00197FE6"/>
    <w:rsid w:val="001A1104"/>
    <w:rsid w:val="001B30D7"/>
    <w:rsid w:val="001B6971"/>
    <w:rsid w:val="002548C9"/>
    <w:rsid w:val="002549D8"/>
    <w:rsid w:val="002640E7"/>
    <w:rsid w:val="002822AD"/>
    <w:rsid w:val="00287BA2"/>
    <w:rsid w:val="00292AAE"/>
    <w:rsid w:val="002C675C"/>
    <w:rsid w:val="002C72D5"/>
    <w:rsid w:val="002E2606"/>
    <w:rsid w:val="002E4AEB"/>
    <w:rsid w:val="00310C14"/>
    <w:rsid w:val="00315952"/>
    <w:rsid w:val="003300AC"/>
    <w:rsid w:val="00336FA9"/>
    <w:rsid w:val="00346FF4"/>
    <w:rsid w:val="00367897"/>
    <w:rsid w:val="003C6A58"/>
    <w:rsid w:val="003D00A1"/>
    <w:rsid w:val="003D2BB7"/>
    <w:rsid w:val="003E4066"/>
    <w:rsid w:val="003F0246"/>
    <w:rsid w:val="00403078"/>
    <w:rsid w:val="00411426"/>
    <w:rsid w:val="00413883"/>
    <w:rsid w:val="004334B1"/>
    <w:rsid w:val="00463C62"/>
    <w:rsid w:val="00481897"/>
    <w:rsid w:val="00486575"/>
    <w:rsid w:val="004970CA"/>
    <w:rsid w:val="004C173C"/>
    <w:rsid w:val="004F4632"/>
    <w:rsid w:val="0051451F"/>
    <w:rsid w:val="005238AD"/>
    <w:rsid w:val="00572E62"/>
    <w:rsid w:val="00594EB7"/>
    <w:rsid w:val="00595984"/>
    <w:rsid w:val="005C615E"/>
    <w:rsid w:val="005D2278"/>
    <w:rsid w:val="00651CCB"/>
    <w:rsid w:val="006722E1"/>
    <w:rsid w:val="006760AC"/>
    <w:rsid w:val="00687A07"/>
    <w:rsid w:val="006B75E2"/>
    <w:rsid w:val="006B7B0F"/>
    <w:rsid w:val="006C6DFC"/>
    <w:rsid w:val="006D6246"/>
    <w:rsid w:val="006E6867"/>
    <w:rsid w:val="0070409F"/>
    <w:rsid w:val="00743690"/>
    <w:rsid w:val="007474A2"/>
    <w:rsid w:val="00755912"/>
    <w:rsid w:val="007641DA"/>
    <w:rsid w:val="00770AD3"/>
    <w:rsid w:val="00772E8E"/>
    <w:rsid w:val="007C37D9"/>
    <w:rsid w:val="007E5333"/>
    <w:rsid w:val="007F4A5E"/>
    <w:rsid w:val="00804C4F"/>
    <w:rsid w:val="00813ED9"/>
    <w:rsid w:val="00815BF2"/>
    <w:rsid w:val="00885560"/>
    <w:rsid w:val="00894959"/>
    <w:rsid w:val="008B3EE6"/>
    <w:rsid w:val="008F06BC"/>
    <w:rsid w:val="009006F0"/>
    <w:rsid w:val="0090083B"/>
    <w:rsid w:val="00901860"/>
    <w:rsid w:val="00913B65"/>
    <w:rsid w:val="00940C65"/>
    <w:rsid w:val="0098250D"/>
    <w:rsid w:val="009936BA"/>
    <w:rsid w:val="009B4FFC"/>
    <w:rsid w:val="009B701E"/>
    <w:rsid w:val="009F1872"/>
    <w:rsid w:val="009F3210"/>
    <w:rsid w:val="00A42BBD"/>
    <w:rsid w:val="00A52610"/>
    <w:rsid w:val="00A63337"/>
    <w:rsid w:val="00A76A2F"/>
    <w:rsid w:val="00AA4206"/>
    <w:rsid w:val="00AC1524"/>
    <w:rsid w:val="00AE1286"/>
    <w:rsid w:val="00AF4A80"/>
    <w:rsid w:val="00B81645"/>
    <w:rsid w:val="00B84753"/>
    <w:rsid w:val="00BB5886"/>
    <w:rsid w:val="00BE1C75"/>
    <w:rsid w:val="00BE7E49"/>
    <w:rsid w:val="00BF671D"/>
    <w:rsid w:val="00C0300D"/>
    <w:rsid w:val="00C15424"/>
    <w:rsid w:val="00C30B9F"/>
    <w:rsid w:val="00C70DFD"/>
    <w:rsid w:val="00C71762"/>
    <w:rsid w:val="00C722CA"/>
    <w:rsid w:val="00C83ECE"/>
    <w:rsid w:val="00CB3F33"/>
    <w:rsid w:val="00CF45FE"/>
    <w:rsid w:val="00D005FC"/>
    <w:rsid w:val="00D13231"/>
    <w:rsid w:val="00D2511A"/>
    <w:rsid w:val="00D268A0"/>
    <w:rsid w:val="00D32376"/>
    <w:rsid w:val="00D40E45"/>
    <w:rsid w:val="00D90374"/>
    <w:rsid w:val="00DA27D7"/>
    <w:rsid w:val="00DB10D9"/>
    <w:rsid w:val="00DB72E5"/>
    <w:rsid w:val="00DC0484"/>
    <w:rsid w:val="00DF7874"/>
    <w:rsid w:val="00E30C1F"/>
    <w:rsid w:val="00E32F24"/>
    <w:rsid w:val="00E36F00"/>
    <w:rsid w:val="00E47E18"/>
    <w:rsid w:val="00E6353D"/>
    <w:rsid w:val="00E67C2C"/>
    <w:rsid w:val="00ED6A12"/>
    <w:rsid w:val="00EF6E2A"/>
    <w:rsid w:val="00F012B5"/>
    <w:rsid w:val="00F063B4"/>
    <w:rsid w:val="00F07802"/>
    <w:rsid w:val="00F13F5A"/>
    <w:rsid w:val="00F33AF0"/>
    <w:rsid w:val="00FE04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3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00D"/>
    <w:rPr>
      <w:rFonts w:ascii="Tahoma" w:hAnsi="Tahoma" w:cs="Tahoma"/>
      <w:sz w:val="16"/>
      <w:szCs w:val="16"/>
    </w:rPr>
  </w:style>
  <w:style w:type="paragraph" w:customStyle="1" w:styleId="Default">
    <w:name w:val="Default"/>
    <w:rsid w:val="00A76A2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semiHidden/>
    <w:unhideWhenUsed/>
    <w:rsid w:val="00AF4A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4A80"/>
  </w:style>
  <w:style w:type="paragraph" w:styleId="Pieddepage">
    <w:name w:val="footer"/>
    <w:basedOn w:val="Normal"/>
    <w:link w:val="PieddepageCar"/>
    <w:uiPriority w:val="99"/>
    <w:unhideWhenUsed/>
    <w:rsid w:val="00AF4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A80"/>
  </w:style>
</w:styles>
</file>

<file path=word/webSettings.xml><?xml version="1.0" encoding="utf-8"?>
<w:webSettings xmlns:r="http://schemas.openxmlformats.org/officeDocument/2006/relationships" xmlns:w="http://schemas.openxmlformats.org/wordprocessingml/2006/main">
  <w:divs>
    <w:div w:id="3463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9779</TotalTime>
  <Pages>8</Pages>
  <Words>2581</Words>
  <Characters>14198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153</cp:revision>
  <dcterms:created xsi:type="dcterms:W3CDTF">2023-02-25T21:55:00Z</dcterms:created>
  <dcterms:modified xsi:type="dcterms:W3CDTF">2025-04-29T21:16:00Z</dcterms:modified>
</cp:coreProperties>
</file>