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A6" w:rsidRDefault="000C7FA6"/>
    <w:p w:rsidR="002905E2" w:rsidRDefault="002905E2"/>
    <w:p w:rsidR="002905E2" w:rsidRDefault="002905E2"/>
    <w:p w:rsidR="002905E2" w:rsidRDefault="002905E2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8A0F4A" w:rsidRDefault="008A0F4A" w:rsidP="008A0F4A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BA09C9">
        <w:rPr>
          <w:rFonts w:cstheme="minorHAnsi"/>
          <w:b/>
          <w:bCs/>
          <w:sz w:val="28"/>
          <w:szCs w:val="28"/>
          <w:rtl/>
        </w:rPr>
        <w:t xml:space="preserve">مقياس </w:t>
      </w:r>
      <w:r>
        <w:rPr>
          <w:rFonts w:cstheme="minorHAnsi" w:hint="cs"/>
          <w:b/>
          <w:bCs/>
          <w:sz w:val="28"/>
          <w:szCs w:val="28"/>
          <w:rtl/>
        </w:rPr>
        <w:t xml:space="preserve">الصيانة والترميم في علم </w:t>
      </w:r>
      <w:proofErr w:type="gramStart"/>
      <w:r>
        <w:rPr>
          <w:rFonts w:cstheme="minorHAnsi" w:hint="cs"/>
          <w:b/>
          <w:bCs/>
          <w:sz w:val="28"/>
          <w:szCs w:val="28"/>
          <w:rtl/>
        </w:rPr>
        <w:t>الآثار</w:t>
      </w:r>
      <w:r w:rsidRPr="00BA09C9">
        <w:rPr>
          <w:rFonts w:cstheme="minorHAnsi"/>
          <w:b/>
          <w:bCs/>
          <w:sz w:val="28"/>
          <w:szCs w:val="28"/>
          <w:rtl/>
        </w:rPr>
        <w:t xml:space="preserve">  -------</w:t>
      </w:r>
      <w:proofErr w:type="gramEnd"/>
      <w:r w:rsidRPr="00BA09C9">
        <w:rPr>
          <w:rFonts w:cstheme="minorHAnsi"/>
          <w:b/>
          <w:bCs/>
          <w:sz w:val="28"/>
          <w:szCs w:val="28"/>
          <w:rtl/>
        </w:rPr>
        <w:t xml:space="preserve"> أستاذ المقياس: 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دة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.</w:t>
      </w:r>
      <w:proofErr w:type="spellStart"/>
      <w:r w:rsidRPr="00BA09C9">
        <w:rPr>
          <w:rFonts w:cstheme="minorHAnsi"/>
          <w:b/>
          <w:bCs/>
          <w:sz w:val="28"/>
          <w:szCs w:val="28"/>
          <w:rtl/>
        </w:rPr>
        <w:t>بوزياني</w:t>
      </w:r>
      <w:proofErr w:type="spellEnd"/>
      <w:r w:rsidRPr="00BA09C9">
        <w:rPr>
          <w:rFonts w:cstheme="minorHAnsi"/>
          <w:b/>
          <w:bCs/>
          <w:sz w:val="28"/>
          <w:szCs w:val="28"/>
          <w:rtl/>
        </w:rPr>
        <w:t xml:space="preserve"> فاطمة الزهراء</w:t>
      </w:r>
    </w:p>
    <w:p w:rsidR="008A0F4A" w:rsidRDefault="008A0F4A" w:rsidP="008A0F4A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المعامل 02</w:t>
      </w:r>
    </w:p>
    <w:p w:rsidR="008A0F4A" w:rsidRPr="00BA09C9" w:rsidRDefault="008A0F4A" w:rsidP="008A0F4A">
      <w:pPr>
        <w:spacing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الرصيد 05</w:t>
      </w:r>
    </w:p>
    <w:p w:rsidR="008A0F4A" w:rsidRPr="00BA09C9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جامعة تلمسان</w:t>
      </w:r>
    </w:p>
    <w:p w:rsidR="008A0F4A" w:rsidRPr="00BA09C9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كلية العلوم الإنسانية والعلوم الاجتماعية</w:t>
      </w:r>
    </w:p>
    <w:p w:rsidR="008A0F4A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  <w:r w:rsidRPr="00BA09C9">
        <w:rPr>
          <w:rFonts w:cstheme="minorHAnsi"/>
          <w:sz w:val="32"/>
          <w:szCs w:val="32"/>
          <w:rtl/>
        </w:rPr>
        <w:t>قسم علم الآثار</w:t>
      </w:r>
    </w:p>
    <w:p w:rsidR="008A0F4A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p w:rsidR="008A0F4A" w:rsidRPr="00BA09C9" w:rsidRDefault="008A0F4A" w:rsidP="008A0F4A">
      <w:pPr>
        <w:spacing w:after="0" w:line="240" w:lineRule="auto"/>
        <w:jc w:val="center"/>
        <w:rPr>
          <w:rFonts w:cstheme="minorHAnsi"/>
          <w:sz w:val="32"/>
          <w:szCs w:val="32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F4A" w:rsidRPr="00BA09C9" w:rsidTr="00A620B0">
        <w:tc>
          <w:tcPr>
            <w:tcW w:w="9062" w:type="dxa"/>
          </w:tcPr>
          <w:p w:rsidR="008A0F4A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>قسم علم الآثار       السنة الجامعية 2024/2025</w:t>
            </w: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8A0F4A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BA09C9">
              <w:rPr>
                <w:rFonts w:cstheme="minorHAnsi"/>
                <w:sz w:val="32"/>
                <w:szCs w:val="32"/>
                <w:rtl/>
              </w:rPr>
              <w:t xml:space="preserve">المستوى: </w:t>
            </w:r>
            <w:r>
              <w:rPr>
                <w:rFonts w:cstheme="minorHAnsi" w:hint="cs"/>
                <w:sz w:val="32"/>
                <w:szCs w:val="32"/>
                <w:rtl/>
              </w:rPr>
              <w:t>السنة 02 ليسانس</w:t>
            </w:r>
          </w:p>
          <w:p w:rsidR="008A0F4A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السداسي الرابع.</w:t>
            </w: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8A0F4A" w:rsidRDefault="008A0F4A" w:rsidP="00A620B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A09C9">
              <w:rPr>
                <w:rFonts w:cstheme="minorHAnsi"/>
                <w:sz w:val="28"/>
                <w:szCs w:val="28"/>
                <w:rtl/>
              </w:rPr>
              <w:t xml:space="preserve">أستاذ المقياس: </w:t>
            </w:r>
            <w:proofErr w:type="spellStart"/>
            <w:proofErr w:type="gramStart"/>
            <w:r w:rsidRPr="00BA09C9">
              <w:rPr>
                <w:rFonts w:cstheme="minorHAnsi"/>
                <w:sz w:val="28"/>
                <w:szCs w:val="28"/>
                <w:rtl/>
              </w:rPr>
              <w:t>دة</w:t>
            </w:r>
            <w:proofErr w:type="spell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.</w:t>
            </w:r>
            <w:proofErr w:type="spellStart"/>
            <w:r w:rsidRPr="00BA09C9">
              <w:rPr>
                <w:rFonts w:cstheme="minorHAnsi"/>
                <w:sz w:val="28"/>
                <w:szCs w:val="28"/>
                <w:rtl/>
              </w:rPr>
              <w:t>بوزياني</w:t>
            </w:r>
            <w:proofErr w:type="spellEnd"/>
            <w:proofErr w:type="gramEnd"/>
            <w:r w:rsidRPr="00BA09C9">
              <w:rPr>
                <w:rFonts w:cstheme="minorHAnsi"/>
                <w:sz w:val="28"/>
                <w:szCs w:val="28"/>
                <w:rtl/>
              </w:rPr>
              <w:t xml:space="preserve"> فاطمة الزهراء</w:t>
            </w:r>
          </w:p>
          <w:p w:rsidR="008A0F4A" w:rsidRDefault="008A0F4A" w:rsidP="00A620B0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  <w:p w:rsidR="008A0F4A" w:rsidRDefault="008A0F4A" w:rsidP="00A620B0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5A6DA2"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  <w:rtl/>
              </w:rPr>
              <w:t>عنوان الدرس:</w:t>
            </w:r>
          </w:p>
          <w:p w:rsidR="008A0F4A" w:rsidRDefault="008A0F4A" w:rsidP="00A620B0">
            <w:pPr>
              <w:bidi/>
              <w:jc w:val="center"/>
              <w:rPr>
                <w:rFonts w:cs="Naskh3 Bold"/>
                <w:color w:val="FF0000"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  <w:t>تأثير عوامل التلف على مواد بناء المنشآت الأثرية</w:t>
            </w:r>
          </w:p>
          <w:p w:rsidR="008A0F4A" w:rsidRDefault="008A0F4A" w:rsidP="008A0F4A">
            <w:pPr>
              <w:bidi/>
              <w:jc w:val="center"/>
              <w:rPr>
                <w:rFonts w:cs="Naskh3 Bold"/>
                <w:color w:val="FF0000"/>
                <w:sz w:val="40"/>
                <w:szCs w:val="40"/>
                <w:u w:val="single"/>
                <w:lang w:bidi="ar-DZ"/>
              </w:rPr>
            </w:pPr>
            <w:r>
              <w:rPr>
                <w:rFonts w:cs="Naskh3 Bold" w:hint="cs"/>
                <w:color w:val="FF0000"/>
                <w:sz w:val="40"/>
                <w:szCs w:val="40"/>
                <w:u w:val="single"/>
                <w:rtl/>
                <w:lang w:bidi="ar-DZ"/>
              </w:rPr>
              <w:t>(الآجر)</w:t>
            </w:r>
          </w:p>
          <w:p w:rsidR="008A0F4A" w:rsidRPr="005A6DA2" w:rsidRDefault="008A0F4A" w:rsidP="00A620B0">
            <w:pPr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</w:p>
          <w:p w:rsidR="008A0F4A" w:rsidRPr="00BA09C9" w:rsidRDefault="008A0F4A" w:rsidP="00A620B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>
      <w:pPr>
        <w:spacing w:line="240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8A0F4A" w:rsidRDefault="008A0F4A" w:rsidP="008A0F4A"/>
    <w:p w:rsidR="008A0F4A" w:rsidRDefault="008A0F4A" w:rsidP="008A0F4A"/>
    <w:p w:rsidR="008A0F4A" w:rsidRDefault="008A0F4A" w:rsidP="008A0F4A"/>
    <w:p w:rsidR="002905E2" w:rsidRPr="008A0F4A" w:rsidRDefault="002905E2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905E2" w:rsidRDefault="002905E2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905E2" w:rsidRPr="00325D79" w:rsidRDefault="002905E2" w:rsidP="002905E2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325D7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الآجر:</w:t>
      </w:r>
    </w:p>
    <w:p w:rsidR="002905E2" w:rsidRDefault="00325D79" w:rsidP="002905E2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ab/>
      </w:r>
      <w:r w:rsidR="002905E2">
        <w:rPr>
          <w:rFonts w:ascii="Simplified Arabic" w:hAnsi="Simplified Arabic" w:cs="Simplified Arabic" w:hint="cs"/>
          <w:sz w:val="32"/>
          <w:szCs w:val="32"/>
          <w:rtl/>
        </w:rPr>
        <w:t>هو من بين مواد البناء طويلة البقاء، يتعرض للتغير تبعا لتأثير عوامل الزمن والتغيرات المناخية،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ولكن هذه التغيرات تغيرات طفيفة</w:t>
      </w:r>
      <w:r w:rsidR="002905E2">
        <w:rPr>
          <w:rFonts w:ascii="Simplified Arabic" w:hAnsi="Simplified Arabic" w:cs="Simplified Arabic" w:hint="cs"/>
          <w:sz w:val="32"/>
          <w:szCs w:val="32"/>
          <w:rtl/>
        </w:rPr>
        <w:t xml:space="preserve"> مثل تغير اللون</w:t>
      </w:r>
      <w:r w:rsidR="0028031A">
        <w:rPr>
          <w:rFonts w:ascii="Simplified Arabic" w:hAnsi="Simplified Arabic" w:cs="Simplified Arabic" w:hint="cs"/>
          <w:sz w:val="32"/>
          <w:szCs w:val="32"/>
          <w:rtl/>
        </w:rPr>
        <w:t xml:space="preserve"> مقارنة مع مواد أخرى</w:t>
      </w:r>
      <w:r w:rsidR="002905E2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847F60" w:rsidRDefault="00847F60" w:rsidP="00847F60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يتميز بالتنوع من حيث الأشكال.</w:t>
      </w:r>
    </w:p>
    <w:p w:rsidR="00847F60" w:rsidRDefault="00847F60" w:rsidP="00847F60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كلما زادت مدة الشي ازدادت قوة وصلابة الآجر ونقص امتصاصه للماء ويتغير اللون ويزداد التشابه في الخواص بين سطح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الآجرة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ومركزها، وهي مسئولة عن مقاومة مياه الامطار والتجمد والذوبان، لذا </w:t>
      </w:r>
      <w:r w:rsidR="0000504E">
        <w:rPr>
          <w:rFonts w:ascii="Simplified Arabic" w:hAnsi="Simplified Arabic" w:cs="Simplified Arabic" w:hint="cs"/>
          <w:sz w:val="32"/>
          <w:szCs w:val="32"/>
          <w:rtl/>
        </w:rPr>
        <w:t>تحدد نوعية ومدة الشي أهم خصائصه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</w:p>
    <w:p w:rsidR="00847F60" w:rsidRPr="00847F60" w:rsidRDefault="00847F60" w:rsidP="00847F60">
      <w:p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847F60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عوامل التلف:</w:t>
      </w:r>
    </w:p>
    <w:p w:rsidR="00325D79" w:rsidRPr="00211377" w:rsidRDefault="00325D79" w:rsidP="00211377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تبلور الأملاح: </w:t>
      </w:r>
    </w:p>
    <w:p w:rsidR="00211377" w:rsidRDefault="00325D79" w:rsidP="00325D79">
      <w:pPr>
        <w:bidi/>
        <w:spacing w:after="0"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تتبلور الأملاح ضمن المسام ما يؤذي إلى تحطمه خاصة في الأبنية القريبة من الشواطئ والبحار أو الموجودة قرب أحواض الزهور والحدائق، لأن رذاذ البحر ينتشر في الهواء محملا </w:t>
      </w:r>
      <w:r w:rsidR="00EA076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برطوبته إلى داخل مسام الآجر لتترسب بعدها بلورات الاملاح على سطوحها مكونة بقعة رطبة تنمو ع</w:t>
      </w:r>
      <w:r w:rsidR="00D804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لى سطحها الطحالب والفطريات. أو ت</w:t>
      </w:r>
      <w:r w:rsidR="00EA07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ذوب </w:t>
      </w:r>
      <w:r w:rsidR="00D804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الأملاح قليلا وتترسب داخل الأثر المسامي ليتبلور بعد ذلك في الجو الجاف ما يؤذي إلى تفتت السطح بعد وقت طويل. </w:t>
      </w:r>
    </w:p>
    <w:p w:rsidR="00942A9A" w:rsidRDefault="00211377" w:rsidP="00942A9A">
      <w:pPr>
        <w:pStyle w:val="Paragraphedeliste"/>
        <w:numPr>
          <w:ilvl w:val="0"/>
          <w:numId w:val="1"/>
        </w:numPr>
        <w:bidi/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ارتشاح الماء:</w:t>
      </w:r>
    </w:p>
    <w:p w:rsidR="00942A9A" w:rsidRPr="00942A9A" w:rsidRDefault="00211377" w:rsidP="00942A9A">
      <w:pPr>
        <w:pStyle w:val="Paragraphedeliste"/>
        <w:bidi/>
        <w:spacing w:after="0" w:line="276" w:lineRule="auto"/>
        <w:ind w:left="0" w:firstLine="720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942A9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إن تسرب الماء داخل الآجر يؤذي إلى تدمر البناء</w:t>
      </w:r>
      <w:r w:rsidR="00CC7B47" w:rsidRPr="00942A9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بسبب </w:t>
      </w:r>
      <w:r w:rsidR="00B84CE7" w:rsidRPr="00942A9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 التجمد والذوبان، ويمكن لمعظم الآجر مقاومة هذا العامل إلا أن البعض من الوحدات ذات الخصائص السيئة يمكن أن تفشل في ذلك</w:t>
      </w:r>
      <w:r w:rsidR="00942A9A" w:rsidRPr="00942A9A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211377" w:rsidRPr="00942A9A" w:rsidRDefault="00B84CE7" w:rsidP="00942A9A">
      <w:pPr>
        <w:pStyle w:val="Paragraphedeliste"/>
        <w:bidi/>
        <w:spacing w:after="0" w:line="276" w:lineRule="auto"/>
        <w:ind w:left="0" w:firstLine="720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وأهم ما يؤثر على مقاومة </w:t>
      </w:r>
      <w:r w:rsidR="000C1FC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الآجر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هو المسامية لأن امتصاص الماء يصل إلى أكثر من 12 بالمئة</w:t>
      </w:r>
      <w:r w:rsidR="00942A9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يشير إلى احتمال التأثر بالتجمد والذوبان.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21137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42A9A" w:rsidRDefault="00211377" w:rsidP="00942A9A">
      <w:pPr>
        <w:pStyle w:val="Paragraphedeliste"/>
        <w:numPr>
          <w:ilvl w:val="0"/>
          <w:numId w:val="1"/>
        </w:numPr>
        <w:bidi/>
        <w:spacing w:after="0" w:line="276" w:lineRule="auto"/>
        <w:ind w:left="567" w:hanging="283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DZ"/>
        </w:rPr>
      </w:pPr>
      <w:r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العوامل الكيميائية:</w:t>
      </w:r>
      <w:r w:rsidR="00325D79" w:rsidRPr="002113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7A4DB3" w:rsidRDefault="00E10A24" w:rsidP="007A4DB3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10A2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يمتلك الآجر</w:t>
      </w:r>
      <w:r w:rsidR="002716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مقاومة عالية</w:t>
      </w:r>
      <w:r w:rsidR="007A4DB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ولكن الآجر غير المشوي بشكل جيد عرضة للهجوم ويمكن للمحاليل الحامضية أن تسرع عملية التلف.</w:t>
      </w:r>
    </w:p>
    <w:p w:rsidR="00786637" w:rsidRDefault="00847F60" w:rsidP="00847F60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bookmarkStart w:id="0" w:name="_GoBack"/>
      <w:bookmarkEnd w:id="0"/>
      <w:r w:rsidRPr="001623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مثلا يتأثر بحمض فلور الماء ولكن</w:t>
      </w:r>
      <w:r w:rsidR="00271672" w:rsidRPr="001623FA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يمكن أن نصنع منه أوان </w:t>
      </w:r>
      <w:r w:rsidR="00786637" w:rsidRPr="001623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7A4DB3" w:rsidRPr="001623FA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حفظ حمض كلور الماء</w:t>
      </w:r>
      <w:r w:rsidR="001623FA" w:rsidRPr="001623FA">
        <w:rPr>
          <w:rFonts w:ascii="Simplified Arabic" w:hAnsi="Simplified Arabic" w:cs="Simplified Arabic"/>
          <w:sz w:val="32"/>
          <w:szCs w:val="32"/>
          <w:lang w:bidi="ar-DZ"/>
        </w:rPr>
        <w:t>.</w:t>
      </w:r>
      <w:r w:rsidR="007A4DB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786637" w:rsidRDefault="00786637" w:rsidP="00786637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786637" w:rsidRDefault="00786637" w:rsidP="00786637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942A9A" w:rsidRPr="00942A9A" w:rsidRDefault="00942A9A" w:rsidP="00942A9A">
      <w:pPr>
        <w:pStyle w:val="Paragraphedeliste"/>
        <w:bidi/>
        <w:spacing w:after="0" w:line="276" w:lineRule="auto"/>
        <w:ind w:left="567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</w:p>
    <w:sectPr w:rsidR="00942A9A" w:rsidRPr="00942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74C" w:rsidRDefault="0079774C" w:rsidP="000C70B0">
      <w:pPr>
        <w:spacing w:after="0" w:line="240" w:lineRule="auto"/>
      </w:pPr>
      <w:r>
        <w:separator/>
      </w:r>
    </w:p>
  </w:endnote>
  <w:endnote w:type="continuationSeparator" w:id="0">
    <w:p w:rsidR="0079774C" w:rsidRDefault="0079774C" w:rsidP="000C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skh3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0291853"/>
      <w:docPartObj>
        <w:docPartGallery w:val="Page Numbers (Bottom of Page)"/>
        <w:docPartUnique/>
      </w:docPartObj>
    </w:sdtPr>
    <w:sdtEndPr/>
    <w:sdtContent>
      <w:p w:rsidR="000C70B0" w:rsidRDefault="000C70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3FA">
          <w:rPr>
            <w:noProof/>
          </w:rPr>
          <w:t>3</w:t>
        </w:r>
        <w:r>
          <w:fldChar w:fldCharType="end"/>
        </w:r>
      </w:p>
    </w:sdtContent>
  </w:sdt>
  <w:p w:rsidR="000C70B0" w:rsidRDefault="000C70B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74C" w:rsidRDefault="0079774C" w:rsidP="000C70B0">
      <w:pPr>
        <w:spacing w:after="0" w:line="240" w:lineRule="auto"/>
      </w:pPr>
      <w:r>
        <w:separator/>
      </w:r>
    </w:p>
  </w:footnote>
  <w:footnote w:type="continuationSeparator" w:id="0">
    <w:p w:rsidR="0079774C" w:rsidRDefault="0079774C" w:rsidP="000C7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0B0" w:rsidRDefault="000C70B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86E51"/>
    <w:multiLevelType w:val="hybridMultilevel"/>
    <w:tmpl w:val="30A0D1FA"/>
    <w:lvl w:ilvl="0" w:tplc="FCCE0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AA"/>
    <w:rsid w:val="0000504E"/>
    <w:rsid w:val="000C1FCD"/>
    <w:rsid w:val="000C70B0"/>
    <w:rsid w:val="000C7FA6"/>
    <w:rsid w:val="00117EFE"/>
    <w:rsid w:val="001623FA"/>
    <w:rsid w:val="00211377"/>
    <w:rsid w:val="002138E5"/>
    <w:rsid w:val="00271672"/>
    <w:rsid w:val="0028031A"/>
    <w:rsid w:val="002905E2"/>
    <w:rsid w:val="002D61EB"/>
    <w:rsid w:val="00325D79"/>
    <w:rsid w:val="00591B8C"/>
    <w:rsid w:val="00786637"/>
    <w:rsid w:val="0079774C"/>
    <w:rsid w:val="007A4DB3"/>
    <w:rsid w:val="007D2DAA"/>
    <w:rsid w:val="00847F60"/>
    <w:rsid w:val="008A0F4A"/>
    <w:rsid w:val="00942A9A"/>
    <w:rsid w:val="00B84CE7"/>
    <w:rsid w:val="00CC7B47"/>
    <w:rsid w:val="00D804A4"/>
    <w:rsid w:val="00E10A24"/>
    <w:rsid w:val="00E92543"/>
    <w:rsid w:val="00EA0765"/>
    <w:rsid w:val="00FB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87031-7C72-4385-BC49-89B2371D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0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13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70B0"/>
  </w:style>
  <w:style w:type="paragraph" w:styleId="Pieddepage">
    <w:name w:val="footer"/>
    <w:basedOn w:val="Normal"/>
    <w:link w:val="PieddepageCar"/>
    <w:uiPriority w:val="99"/>
    <w:unhideWhenUsed/>
    <w:rsid w:val="000C7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7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2025-04-27T17:24:00Z</dcterms:created>
  <dcterms:modified xsi:type="dcterms:W3CDTF">2025-04-30T17:36:00Z</dcterms:modified>
</cp:coreProperties>
</file>