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9026">
      <w:pPr>
        <w:spacing w:line="240" w:lineRule="auto"/>
        <w:jc w:val="right"/>
        <w:rPr>
          <w:rFonts w:ascii="Traditional Arabic" w:hAnsi="Traditional Arabic" w:eastAsia="Calibri" w:cs="Traditional Arabic"/>
          <w:b/>
          <w:bCs/>
          <w:sz w:val="32"/>
          <w:szCs w:val="32"/>
        </w:rPr>
      </w:pP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>كلية العلوم الانسانية والاجتماعية.</w:t>
      </w:r>
      <w:r>
        <w:rPr>
          <w:rFonts w:ascii="Traditional Arabic" w:hAnsi="Traditional Arabic" w:eastAsia="Calibri" w:cs="Traditional Arabic"/>
          <w:b/>
          <w:bCs/>
          <w:sz w:val="32"/>
          <w:szCs w:val="32"/>
        </w:rPr>
        <w:t xml:space="preserve">                    </w:t>
      </w:r>
      <w:r>
        <w:rPr>
          <w:rFonts w:ascii="Traditional Arabic" w:hAnsi="Traditional Arabic" w:cs="Traditional Arabic"/>
          <w:sz w:val="32"/>
          <w:szCs w:val="32"/>
        </w:rPr>
        <w:drawing>
          <wp:inline distT="0" distB="0" distL="0" distR="0">
            <wp:extent cx="927100" cy="1073150"/>
            <wp:effectExtent l="0" t="0" r="63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E47D">
      <w:pPr>
        <w:spacing w:line="240" w:lineRule="auto"/>
        <w:jc w:val="center"/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>قسم علم النفس وعلوم التربية والارطفونيا.</w:t>
      </w:r>
    </w:p>
    <w:p w14:paraId="2FE43B19">
      <w:pPr>
        <w:pStyle w:val="34"/>
        <w:bidi/>
        <w:spacing w:line="240" w:lineRule="auto"/>
        <w:ind w:right="720"/>
        <w:jc w:val="both"/>
        <w:rPr>
          <w:rFonts w:ascii="Traditional Arabic" w:hAnsi="Traditional Arabic" w:eastAsia="Calibri" w:cs="Traditional Arabic"/>
          <w:sz w:val="32"/>
          <w:szCs w:val="32"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 -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>المستوى: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السنة الثالثة ليسانس علم النفس</w:t>
      </w:r>
      <w:r>
        <w:rPr>
          <w:rFonts w:ascii="Traditional Arabic" w:hAnsi="Traditional Arabic" w:eastAsia="Calibri" w:cs="Traditional Arabic"/>
          <w:sz w:val="32"/>
          <w:szCs w:val="32"/>
        </w:rPr>
        <w:t xml:space="preserve"> 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العيادي.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 xml:space="preserve">   -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>أستاذة المقياس: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حاج سليمان فاطمة الزهراء.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p w14:paraId="61BBFA5B">
      <w:pPr>
        <w:spacing w:line="240" w:lineRule="auto"/>
        <w:jc w:val="center"/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</w:rPr>
      </w:pPr>
      <w:r>
        <w:rPr>
          <w:rFonts w:hint="cs" w:ascii="Traditional Arabic" w:hAnsi="Traditional Arabic" w:eastAsia="Calibri" w:cs="Traditional Arabic"/>
          <w:b/>
          <w:bCs/>
          <w:sz w:val="32"/>
          <w:szCs w:val="32"/>
          <w:u w:val="single"/>
          <w:rtl/>
          <w:lang w:bidi="ar-DZ"/>
        </w:rPr>
        <w:t>التصحيح النموذجي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>:</w:t>
      </w:r>
    </w:p>
    <w:p w14:paraId="46A53515">
      <w:pPr>
        <w:wordWrap w:val="0"/>
        <w:spacing w:line="240" w:lineRule="auto"/>
        <w:jc w:val="right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 xml:space="preserve">- السؤال الأول: 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يعمل افراد الاسرة على محاولة استيعاد استقرار الاسرة كلما اختل النظام، ووظيفة الاتزان (اتزان النسق الاسري) هي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:</w:t>
      </w:r>
    </w:p>
    <w:p w14:paraId="2F6816DB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>-لا يسمح بزيادة الانحراف.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>(1ن)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</w:p>
    <w:p w14:paraId="038071D1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-يضع حدود للتفاعلات السلبية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مثل: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''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لا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يسمح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لمشاجرة الاطفال ان تتحول الى اعتداء جسدي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''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(1ن)</w:t>
      </w:r>
      <w:r>
        <w:rPr>
          <w:rFonts w:ascii="Traditional Arabic" w:hAnsi="Traditional Arabic" w:eastAsia="Calibri" w:cs="Traditional Arabic"/>
          <w:sz w:val="32"/>
          <w:szCs w:val="32"/>
        </w:rPr>
        <w:t xml:space="preserve"> </w:t>
      </w:r>
      <w:r>
        <w:rPr>
          <w:rFonts w:ascii="Traditional Arabic" w:hAnsi="Traditional Arabic" w:eastAsia="Calibri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eastAsia="Calibri" w:cs="Traditional Arabic"/>
          <w:sz w:val="32"/>
          <w:szCs w:val="32"/>
        </w:rPr>
        <w:t xml:space="preserve"> </w:t>
      </w:r>
    </w:p>
    <w:p w14:paraId="719B22F5">
      <w:pPr>
        <w:wordWrap w:val="0"/>
        <w:spacing w:line="240" w:lineRule="auto"/>
        <w:jc w:val="right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hint="cs" w:ascii="Traditional Arabic" w:hAnsi="Traditional Arabic" w:eastAsia="Calibri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 xml:space="preserve">- السؤال </w:t>
      </w:r>
      <w:r>
        <w:rPr>
          <w:rFonts w:hint="cs"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 xml:space="preserve">الثاني: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إذا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تحدثنا عن انواع الانساق بصفة عامة فسنجد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: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 xml:space="preserve"> </w:t>
      </w:r>
    </w:p>
    <w:p w14:paraId="27072E1C">
      <w:pPr>
        <w:bidi/>
        <w:spacing w:line="240" w:lineRule="auto"/>
        <w:jc w:val="both"/>
        <w:rPr>
          <w:rFonts w:hint="default" w:ascii="Traditional Arabic" w:hAnsi="Traditional Arabic" w:eastAsia="Calibri" w:cs="Traditional Arabic"/>
          <w:sz w:val="32"/>
          <w:szCs w:val="32"/>
          <w:lang w:val="en-US" w:bidi="ar-DZ"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- الانساق من حيث مصدر وجودها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 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: طبيعية او صناعية.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>(0.5ن)</w:t>
      </w:r>
    </w:p>
    <w:p w14:paraId="5980BAD1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>- الانساق من حيث حياتها وعدم حياتها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: حية او غير حية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.</w:t>
      </w:r>
    </w:p>
    <w:p w14:paraId="42B87D40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>- الانساق من حيث انفتاحها وانغلاقها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: مفتوحة ومغلقة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>.</w:t>
      </w:r>
    </w:p>
    <w:p w14:paraId="75CE74A7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اما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إذا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أشرنا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الى انواع الانساق الفرعية داخل النسق الاسري فسنجد: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النسق الزوجي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، النسق الوالدي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، النسق الاخ</w:t>
      </w:r>
      <w:bookmarkStart w:id="0" w:name="_GoBack"/>
      <w:bookmarkEnd w:id="0"/>
      <w:r>
        <w:rPr>
          <w:rFonts w:hint="cs" w:ascii="Traditional Arabic" w:hAnsi="Traditional Arabic" w:eastAsia="Calibri" w:cs="Traditional Arabic"/>
          <w:sz w:val="32"/>
          <w:szCs w:val="32"/>
          <w:rtl/>
        </w:rPr>
        <w:t>وي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 xml:space="preserve"> والنسق الخارجي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 xml:space="preserve">. </w:t>
      </w:r>
    </w:p>
    <w:p w14:paraId="21A03820">
      <w:pPr>
        <w:wordWrap w:val="0"/>
        <w:spacing w:line="240" w:lineRule="auto"/>
        <w:jc w:val="right"/>
        <w:rPr>
          <w:rFonts w:ascii="Traditional Arabic" w:hAnsi="Traditional Arabic" w:eastAsia="Calibri" w:cs="Traditional Arabic"/>
          <w:color w:val="000000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 xml:space="preserve">- السؤال </w:t>
      </w:r>
      <w:r>
        <w:rPr>
          <w:rFonts w:hint="cs"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>الثالث:</w:t>
      </w:r>
      <w:r>
        <w:rPr>
          <w:rFonts w:hint="cs" w:ascii="Traditional Arabic" w:hAnsi="Traditional Arabic" w:eastAsia="Calibri" w:cs="Traditional Arabic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hint="cs" w:ascii="Traditional Arabic" w:hAnsi="Traditional Arabic" w:eastAsia="Calibri" w:cs="Traditional Arabic"/>
          <w:color w:val="000000"/>
          <w:sz w:val="32"/>
          <w:szCs w:val="32"/>
          <w:rtl/>
        </w:rPr>
        <w:t>حسب</w:t>
      </w:r>
      <w:r>
        <w:rPr>
          <w:rFonts w:ascii="Traditional Arabic" w:hAnsi="Traditional Arabic" w:eastAsia="Calibri" w:cs="Traditional Arabic"/>
          <w:color w:val="000000"/>
          <w:sz w:val="32"/>
          <w:szCs w:val="32"/>
          <w:rtl/>
        </w:rPr>
        <w:t xml:space="preserve"> نظرية </w:t>
      </w:r>
      <w:r>
        <w:rPr>
          <w:rFonts w:hint="cs" w:ascii="Traditional Arabic" w:hAnsi="Traditional Arabic" w:eastAsia="Calibri" w:cs="Traditional Arabic"/>
          <w:color w:val="000000"/>
          <w:sz w:val="32"/>
          <w:szCs w:val="32"/>
          <w:rtl/>
        </w:rPr>
        <w:t>‘’ مورا</w:t>
      </w:r>
      <w:r>
        <w:rPr>
          <w:rFonts w:hint="eastAsia" w:ascii="Traditional Arabic" w:hAnsi="Traditional Arabic" w:eastAsia="Calibri" w:cs="Traditional Arabic"/>
          <w:color w:val="000000"/>
          <w:sz w:val="32"/>
          <w:szCs w:val="32"/>
          <w:rtl/>
        </w:rPr>
        <w:t>ي</w:t>
      </w:r>
      <w:r>
        <w:rPr>
          <w:rFonts w:ascii="Traditional Arabic" w:hAnsi="Traditional Arabic" w:eastAsia="Calibri" w:cs="Traditional Arabic"/>
          <w:color w:val="000000"/>
          <w:sz w:val="32"/>
          <w:szCs w:val="32"/>
          <w:rtl/>
        </w:rPr>
        <w:t xml:space="preserve"> بوين‘’ فان ممارسة العلاج الاسري مرتبط بهدفين رئيسيين </w:t>
      </w:r>
      <w:r>
        <w:rPr>
          <w:rFonts w:hint="cs" w:ascii="Traditional Arabic" w:hAnsi="Traditional Arabic" w:eastAsia="Calibri" w:cs="Traditional Arabic"/>
          <w:color w:val="000000"/>
          <w:sz w:val="32"/>
          <w:szCs w:val="32"/>
          <w:rtl/>
        </w:rPr>
        <w:t>هما:</w:t>
      </w:r>
    </w:p>
    <w:p w14:paraId="2B49760D">
      <w:pPr>
        <w:wordWrap w:val="0"/>
        <w:spacing w:line="240" w:lineRule="auto"/>
        <w:jc w:val="right"/>
        <w:rPr>
          <w:rFonts w:ascii="Traditional Arabic" w:hAnsi="Traditional Arabic" w:eastAsia="Calibri" w:cs="Traditional Arabic"/>
          <w:color w:val="000000"/>
          <w:sz w:val="32"/>
          <w:szCs w:val="32"/>
        </w:rPr>
      </w:pPr>
      <w:r>
        <w:rPr>
          <w:rFonts w:hint="cs" w:ascii="Traditional Arabic" w:hAnsi="Traditional Arabic" w:eastAsia="Calibri" w:cs="Traditional Arabic"/>
          <w:color w:val="000000"/>
          <w:sz w:val="32"/>
          <w:szCs w:val="32"/>
          <w:rtl/>
        </w:rPr>
        <w:t>-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تقليل ظهور أعراض القلق الأسري.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>(1ن)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</w:p>
    <w:p w14:paraId="13D61C61">
      <w:pPr>
        <w:bidi/>
        <w:spacing w:line="240" w:lineRule="auto"/>
        <w:jc w:val="both"/>
        <w:rPr>
          <w:rFonts w:hint="default" w:ascii="Traditional Arabic" w:hAnsi="Traditional Arabic" w:eastAsia="Calibri" w:cs="Traditional Arabic"/>
          <w:sz w:val="32"/>
          <w:szCs w:val="32"/>
          <w:rtl/>
          <w:lang w:val="en-US" w:bidi="ar-DZ"/>
        </w:rPr>
      </w:pPr>
      <w:r>
        <w:rPr>
          <w:rFonts w:hint="cs" w:ascii="Traditional Arabic" w:hAnsi="Traditional Arabic" w:eastAsia="Calibri" w:cs="Traditional Arabic"/>
          <w:sz w:val="32"/>
          <w:szCs w:val="32"/>
          <w:rtl/>
        </w:rPr>
        <w:t>-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العمل على زيادة مستوى تمايز الذات لدى كل فرد من أفراد الأسرة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(تعليم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المفحوصين أن تكون لهم ذات ثابتة قوية متمايزة عن نسقهم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الأسري،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وفي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نفس الوقت إبقائهم على صلة مع نسقهم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الأسري).</w:t>
      </w:r>
      <w:r>
        <w:rPr>
          <w:rFonts w:hint="cs" w:ascii="Traditional Arabic" w:hAnsi="Traditional Arabic" w:eastAsia="Calibri" w:cs="Traditional Arabic"/>
          <w:sz w:val="32"/>
          <w:szCs w:val="32"/>
          <w:rtl/>
          <w:lang w:val="en-US" w:bidi="ar-DZ"/>
        </w:rPr>
        <w:t>(1ن)</w:t>
      </w:r>
    </w:p>
    <w:p w14:paraId="180B74A1">
      <w:pPr>
        <w:bidi/>
        <w:spacing w:line="240" w:lineRule="auto"/>
        <w:jc w:val="both"/>
        <w:rPr>
          <w:rFonts w:ascii="Traditional Arabic" w:hAnsi="Traditional Arabic" w:eastAsia="Calibri" w:cs="Traditional Arabic"/>
          <w:sz w:val="32"/>
          <w:szCs w:val="32"/>
          <w:rtl/>
        </w:rPr>
      </w:pPr>
      <w:r>
        <w:rPr>
          <w:rFonts w:ascii="Traditional Arabic" w:hAnsi="Traditional Arabic" w:eastAsia="Calibri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 xml:space="preserve">- السؤال </w:t>
      </w:r>
      <w:r>
        <w:rPr>
          <w:rFonts w:hint="cs" w:ascii="Traditional Arabic" w:hAnsi="Traditional Arabic" w:eastAsia="Calibri" w:cs="Traditional Arabic"/>
          <w:b/>
          <w:bCs/>
          <w:sz w:val="32"/>
          <w:szCs w:val="32"/>
          <w:u w:val="single"/>
          <w:rtl/>
        </w:rPr>
        <w:t>الرابع:</w:t>
      </w:r>
      <w:r>
        <w:rPr>
          <w:rFonts w:hint="cs" w:ascii="Traditional Arabic" w:hAnsi="Traditional Arabic" w:eastAsia="Calibri" w:cs="Traditional Arabic"/>
          <w:b/>
          <w:bCs/>
          <w:sz w:val="32"/>
          <w:szCs w:val="32"/>
          <w:rtl/>
        </w:rPr>
        <w:t xml:space="preserve"> 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من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المفاهيم الاساسية التي يشرح من خلالها اضطراب النسق الاسري حسب نظرية ‘’ بوين’’ نجد المثل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ثات</w:t>
      </w:r>
      <w:r>
        <w:rPr>
          <w:rFonts w:ascii="Traditional Arabic" w:hAnsi="Traditional Arabic" w:eastAsia="Calibri" w:cs="Traditional Arabic"/>
          <w:sz w:val="32"/>
          <w:szCs w:val="32"/>
          <w:rtl/>
        </w:rPr>
        <w:t xml:space="preserve"> (الثالوث)</w:t>
      </w:r>
      <w:r>
        <w:rPr>
          <w:rFonts w:hint="cs" w:ascii="Traditional Arabic" w:hAnsi="Traditional Arabic" w:eastAsia="Calibri" w:cs="Traditional Arabic"/>
          <w:sz w:val="32"/>
          <w:szCs w:val="32"/>
          <w:rtl/>
        </w:rPr>
        <w:t>:</w:t>
      </w:r>
    </w:p>
    <w:p w14:paraId="0A861198">
      <w:pPr>
        <w:pStyle w:val="34"/>
        <w:bidi/>
        <w:spacing w:line="240" w:lineRule="auto"/>
        <w:jc w:val="both"/>
        <w:rPr>
          <w:rFonts w:hint="default" w:ascii="Traditional Arabic" w:hAnsi="Traditional Arabic" w:eastAsia="DengXian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عندما تصبح أحد العلاقات الثنائية غير مستقرة </w:t>
      </w:r>
      <w:r>
        <w:rPr>
          <w:rFonts w:hint="cs" w:ascii="Traditional Arabic" w:hAnsi="Traditional Arabic" w:eastAsia="DengXian" w:cs="Traditional Arabic"/>
          <w:sz w:val="32"/>
          <w:szCs w:val="32"/>
          <w:rtl/>
        </w:rPr>
        <w:t>ويزيد</w:t>
      </w: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 القلق </w:t>
      </w:r>
      <w:r>
        <w:rPr>
          <w:rFonts w:hint="cs" w:ascii="Traditional Arabic" w:hAnsi="Traditional Arabic" w:eastAsia="DengXian" w:cs="Traditional Arabic"/>
          <w:sz w:val="32"/>
          <w:szCs w:val="32"/>
          <w:rtl/>
        </w:rPr>
        <w:t>والتوتر</w:t>
      </w: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 عند مستوى معين من الشدة </w:t>
      </w:r>
      <w:r>
        <w:rPr>
          <w:rFonts w:hint="cs" w:ascii="Traditional Arabic" w:hAnsi="Traditional Arabic" w:eastAsia="DengXian" w:cs="Traditional Arabic"/>
          <w:sz w:val="32"/>
          <w:szCs w:val="32"/>
          <w:rtl/>
        </w:rPr>
        <w:t>الانفعالية،</w:t>
      </w: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 فان الفردين الذين بينهما هذه العلاقة يحاولان أن يسحبا طرفا ثالثا ليكون معه ثالوث أو </w:t>
      </w:r>
      <w:r>
        <w:rPr>
          <w:rFonts w:hint="cs" w:ascii="Traditional Arabic" w:hAnsi="Traditional Arabic" w:eastAsia="DengXian" w:cs="Traditional Arabic"/>
          <w:sz w:val="32"/>
          <w:szCs w:val="32"/>
          <w:rtl/>
        </w:rPr>
        <w:t>مثلثا،</w:t>
      </w: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eastAsia="DengXian" w:cs="Traditional Arabic"/>
          <w:sz w:val="32"/>
          <w:szCs w:val="32"/>
          <w:rtl/>
        </w:rPr>
        <w:t>ويستخدم</w:t>
      </w:r>
      <w:r>
        <w:rPr>
          <w:rFonts w:ascii="Traditional Arabic" w:hAnsi="Traditional Arabic" w:eastAsia="DengXian" w:cs="Traditional Arabic"/>
          <w:sz w:val="32"/>
          <w:szCs w:val="32"/>
          <w:rtl/>
        </w:rPr>
        <w:t xml:space="preserve"> الأطفال كثيرا ليكونوا الطرف الثالث عندما تحدث الصراعات بين الوالدين. </w:t>
      </w:r>
      <w:r>
        <w:rPr>
          <w:rFonts w:hint="cs" w:ascii="Traditional Arabic" w:hAnsi="Traditional Arabic" w:eastAsia="DengXian" w:cs="Traditional Arabic"/>
          <w:sz w:val="32"/>
          <w:szCs w:val="32"/>
          <w:rtl/>
          <w:lang w:val="en-US" w:bidi="ar-DZ"/>
        </w:rPr>
        <w:t>(2ن)</w:t>
      </w:r>
    </w:p>
    <w:p w14:paraId="27700F6B">
      <w:pPr>
        <w:bidi/>
        <w:spacing w:line="360" w:lineRule="auto"/>
        <w:jc w:val="both"/>
        <w:rPr>
          <w:rFonts w:ascii="Traditional Arabic" w:hAnsi="Traditional Arabic" w:eastAsia="Calibri" w:cs="Traditional Arabic"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-السؤال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الخامس: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حسب </w:t>
      </w:r>
      <w:r>
        <w:rPr>
          <w:rFonts w:ascii="Traditional Arabic" w:hAnsi="Traditional Arabic" w:cs="Traditional Arabic"/>
          <w:sz w:val="32"/>
          <w:szCs w:val="32"/>
        </w:rPr>
        <w:t>Minuchin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حتى يتمكن من تفسير النظام الأسري فهو يركز على مجموعة من المفاهيم الأساسية : بناء الأسرة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/أنظمة الأسرة الفرعية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  <w:r>
        <w:rPr>
          <w:rFonts w:ascii="Traditional Arabic" w:hAnsi="Traditional Arabic" w:cs="Traditional Arabic"/>
          <w:sz w:val="32"/>
          <w:szCs w:val="32"/>
          <w:rtl/>
        </w:rPr>
        <w:t>/ الحدود الفاصلة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(1ن)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/ الإنحيازات وا</w:t>
      </w: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>لائتلافات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والتحالفات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(2ن).</w:t>
      </w:r>
    </w:p>
    <w:p w14:paraId="110C30C6">
      <w:pPr>
        <w:pStyle w:val="13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-السؤال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السادس: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اهم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مراحل العلاج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الاسري:</w:t>
      </w:r>
    </w:p>
    <w:p w14:paraId="625C3C5D">
      <w:pPr>
        <w:bidi/>
        <w:spacing w:line="240" w:lineRule="auto"/>
        <w:rPr>
          <w:rFonts w:hint="default"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المرحلة الأولى: "التمهيدية – بداية الاتصال":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721FA081">
      <w:pPr>
        <w:bidi/>
        <w:spacing w:line="240" w:lineRule="auto"/>
        <w:rPr>
          <w:rFonts w:hint="default"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المرحلة الثانية: "مرحلة التركيز على المشكل":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7AFC4852">
      <w:p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المرحلة الثالثة: "مرحلة الاتفاق حول المشكل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والتخطيط له"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(0.5ن)</w:t>
      </w:r>
      <w:r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02E66B0">
      <w:p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المرحلة الرابعة: "مرحلة التفاعل الديناميكي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(0.5ن)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ونتائج العلاج"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(0.5ن)</w:t>
      </w:r>
      <w:r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BB7D88D">
      <w:pPr>
        <w:pStyle w:val="13"/>
        <w:bidi/>
        <w:rPr>
          <w:rFonts w:ascii="Traditional Arabic" w:hAnsi="Traditional Arabic" w:cs="Traditional Arabic"/>
          <w:sz w:val="32"/>
          <w:szCs w:val="32"/>
          <w:rtl/>
        </w:rPr>
      </w:pPr>
    </w:p>
    <w:p w14:paraId="188BCF38">
      <w:pPr>
        <w:bidi/>
        <w:jc w:val="right"/>
        <w:rPr>
          <w:rFonts w:ascii="Traditional Arabic" w:hAnsi="Traditional Arabic" w:eastAsia="Calibri" w:cs="Traditional Arabic"/>
          <w:b/>
          <w:bCs/>
          <w:sz w:val="32"/>
          <w:szCs w:val="32"/>
        </w:rPr>
      </w:pPr>
      <w:r>
        <w:rPr>
          <w:rFonts w:ascii="Traditional Arabic" w:hAnsi="Traditional Arabic" w:eastAsia="Calibri" w:cs="Traditional Arabic"/>
          <w:b/>
          <w:bCs/>
          <w:sz w:val="32"/>
          <w:szCs w:val="32"/>
          <w:rtl/>
        </w:rPr>
        <w:t xml:space="preserve">      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54"/>
    <w:rsid w:val="004872E1"/>
    <w:rsid w:val="0061647F"/>
    <w:rsid w:val="00704F54"/>
    <w:rsid w:val="00790F2C"/>
    <w:rsid w:val="009C1CC2"/>
    <w:rsid w:val="00A819C1"/>
    <w:rsid w:val="3CB241D7"/>
    <w:rsid w:val="7B6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Arial"/>
      <w:kern w:val="0"/>
      <w:sz w:val="24"/>
      <w:szCs w:val="24"/>
      <w:lang w:val="fr-FR" w:eastAsia="fr-FR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line="240" w:lineRule="auto"/>
    </w:pPr>
    <w:rPr>
      <w:rFonts w:ascii="Times New Roman" w:hAnsi="Times New Roman" w:cs="Times New Roman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C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ion C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Citation intense C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List Paragraph1"/>
    <w:basedOn w:val="1"/>
    <w:qFormat/>
    <w:uiPriority w:val="0"/>
    <w:pPr>
      <w:contextualSpacing/>
    </w:pPr>
  </w:style>
  <w:style w:type="table" w:customStyle="1" w:styleId="35">
    <w:name w:val="Table Grid"/>
    <w:basedOn w:val="1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2475</Characters>
  <Lines>20</Lines>
  <Paragraphs>5</Paragraphs>
  <TotalTime>11</TotalTime>
  <ScaleCrop>false</ScaleCrop>
  <LinksUpToDate>false</LinksUpToDate>
  <CharactersWithSpaces>2919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2025-05-15T09:07:00Z</dcterms:created>
  <dc:creator>HP</dc:creator>
  <cp:lastModifiedBy>HP</cp:lastModifiedBy>
  <dcterms:modified xsi:type="dcterms:W3CDTF">2025-05-30T16:40:58Z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895D222839EF46ABB31B82BE9459C6CE_12</vt:lpwstr>
  </property>
</Properties>
</file>