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Prod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Introduction aux systemes d'information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BETAOUAF.T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Ordonnancement
                <w:br/>
                Introduction aux systemes d'information    
          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SEKKAL.D
                <w:br/>
                <w:br/>
                BETAOUAF.T
                <w:br/>
                LARIBI.I    
          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LABINFA09 
                <w:br/>
                LABINFA04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Fondements et management des  chaines logistiques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ZEDDAM.B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Automatique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Fondements et management  des chaines logistiques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Ordonnancement
                <w:br/>
                Introduction aux systemes d'information    
          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SEKKAL.D
                <w:br/>
                <w:br/>
                BETAOUAF.T
                <w:br/>
                LARIBI.I    
          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LABINFA09 
                <w:br/>
                LABINFA04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Fondements et management des  chaines logistiques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ZEDDAM.B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Réseaux informatiques  industriels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HOUARI.R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LABINFA09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Automatique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Réseaux informatiques  industriels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HOUARI.R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LABINFA09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en Génie Industriel (ESP)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ZEDDAM.B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