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</w:t>
            </w:r>
            <w:proofErr w:type="gramEnd"/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Industriel</w:t>
            </w:r>
          </w:p>
        </w:tc>
      </w:tr>
      <w:tr w:rsidR="000C6EE6" w:rsidRPr="002B7DF3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</w:t>
            </w:r>
            <w:proofErr w:type="spellStart"/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industiel</w:t>
            </w:r>
            <w:proofErr w:type="spellEnd"/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</w:t>
            </w:r>
            <w:proofErr w:type="gramEnd"/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256ABC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33754873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rationnelle avancée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="003D4259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E-marketing</w:t>
            </w:r>
          </w:p>
          <w:p w14:paraId="71C7F529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1F15255A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BOUFELLOUH.R    </w:t>
            </w:r>
          </w:p>
          <w:p w14:paraId="595FAEBA" w14:textId="0946A020" w:rsidR="00256ABC" w:rsidRPr="0017059E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LABINFB15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LABINFB13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Programmation avancée en Python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Simulations des flux    </w:t>
            </w:r>
          </w:p>
          <w:p w14:paraId="6B905EB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1C8DB054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GHEMBAZA.F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KEDDARI.N    </w:t>
            </w:r>
          </w:p>
          <w:p w14:paraId="355028A2" w14:textId="02B23C18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LABINFB15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89E0A" w14:textId="0278E56E" w:rsidR="00304D21" w:rsidRPr="002B7DF3" w:rsidRDefault="002B7DF3" w:rsidP="00304D2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2B7D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>Modélisation des systèmes à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 évènements discrets</w:t>
            </w:r>
          </w:p>
          <w:p w14:paraId="5B33D400" w14:textId="50474C56" w:rsidR="00304D21" w:rsidRPr="002B7DF3" w:rsidRDefault="00304D21" w:rsidP="00304D2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val="en-US"/>
              </w:rPr>
            </w:pPr>
            <w:r w:rsidRPr="002B7DF3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val="en-US"/>
              </w:rPr>
              <w:t xml:space="preserve">TD         </w:t>
            </w:r>
          </w:p>
          <w:p w14:paraId="6E58F331" w14:textId="77777777" w:rsidR="00304D21" w:rsidRPr="002B7DF3" w:rsidRDefault="00304D21" w:rsidP="00304D2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2B7D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  <w:lang w:val="en-US"/>
              </w:rPr>
              <w:t xml:space="preserve">BOUMEDIENE.F    </w:t>
            </w:r>
          </w:p>
          <w:p w14:paraId="330453ED" w14:textId="253DA46A" w:rsidR="00256ABC" w:rsidRPr="002B7DF3" w:rsidRDefault="00304D21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B7D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  <w:lang w:val="en-US"/>
              </w:rPr>
              <w:t>C005</w:t>
            </w:r>
            <w:r w:rsidR="00256ABC" w:rsidRPr="002B7DF3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B96CB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4334D113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C458BE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533D914" w14:textId="26DA32DD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 de management de la qualité    </w:t>
            </w:r>
          </w:p>
          <w:p w14:paraId="797619F8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42CF28E5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ELOUCHDI.M    </w:t>
            </w:r>
          </w:p>
          <w:p w14:paraId="62C3E78C" w14:textId="2060B608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256ABC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256ABC" w:rsidRPr="00720937" w:rsidRDefault="00256ABC" w:rsidP="00256A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26446420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rationnelle avancée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="003D4259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E-marketing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77382DD" w14:textId="0798DB5F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>TP</w:t>
            </w:r>
          </w:p>
          <w:p w14:paraId="257056FE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BOUFELLOUH.R    </w:t>
            </w:r>
          </w:p>
          <w:p w14:paraId="5E30C2A6" w14:textId="61C607BE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LABINFB15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Programmation avancée en Python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Simulations des flux    </w:t>
            </w:r>
          </w:p>
          <w:p w14:paraId="6982549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47F349F8" w14:textId="77777777" w:rsidR="00256ABC" w:rsidRPr="00BD7114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GHEMBAZA.F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KEDDARI.N    </w:t>
            </w:r>
          </w:p>
          <w:p w14:paraId="05083479" w14:textId="5B697C45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LABINFB15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LABINFA06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3165F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Maintenance et Sûreté de Fonctionnement    </w:t>
            </w:r>
          </w:p>
          <w:p w14:paraId="0A5E0020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3378C4A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HADRI.A    </w:t>
            </w:r>
          </w:p>
          <w:p w14:paraId="782A09E6" w14:textId="150DC35C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0C494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42B23A1B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A6BFD91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6B1E28A" w14:textId="2BEB82C3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2A4CE2EB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rationnelle avancée    </w:t>
            </w:r>
          </w:p>
          <w:p w14:paraId="6C0BEB3B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204C2268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0C2E6A8E" w14:textId="23D0BFE2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256ABC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256ABC" w:rsidRPr="00720937" w:rsidRDefault="00256ABC" w:rsidP="00256A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32B73" w14:textId="77777777" w:rsidR="002B7DF3" w:rsidRPr="002B7DF3" w:rsidRDefault="002B7DF3" w:rsidP="002B7DF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B7D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Modélisation des systèmes à évènements discrets</w:t>
            </w:r>
          </w:p>
          <w:p w14:paraId="1E1AD32D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6241B13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56CD1929" w14:textId="322F6472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0F5CD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Programmation avancée en Python    </w:t>
            </w:r>
          </w:p>
          <w:p w14:paraId="3C82B508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D67BB89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BESSENOUCI.H    </w:t>
            </w:r>
          </w:p>
          <w:p w14:paraId="2C858815" w14:textId="0F92697D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136EE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 de management de la qualité    </w:t>
            </w:r>
          </w:p>
          <w:p w14:paraId="68D51C01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2A0408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KAHOUADJI.H    </w:t>
            </w:r>
          </w:p>
          <w:p w14:paraId="71B5D6C4" w14:textId="68D79583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181DD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367FBD5F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D90C74B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A5A9C49" w14:textId="163A63A9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6DB809F5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Probabilité 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 statistiques    </w:t>
            </w:r>
          </w:p>
          <w:p w14:paraId="1D3AAC6B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6EF53DE4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558A8C98" w14:textId="5154366F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C005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256ABC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256ABC" w:rsidRPr="00720937" w:rsidRDefault="00256ABC" w:rsidP="00256A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ABB6F" w14:textId="16EC66E9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 et statistiques    </w:t>
            </w:r>
          </w:p>
          <w:p w14:paraId="05C54F1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D770C6C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032566C6" w14:textId="5B2495DA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8F65A" w14:textId="058A96DB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opérationnelle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avancée    </w:t>
            </w:r>
          </w:p>
          <w:p w14:paraId="7F1FD4C0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331C5E9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3DCCD4AF" w14:textId="27822E5F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256ABC" w:rsidRPr="0018602D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8602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Maintenance et Sûreté de Fonctionnement    </w:t>
            </w:r>
          </w:p>
          <w:p w14:paraId="543473E6" w14:textId="77777777" w:rsidR="00256ABC" w:rsidRPr="0018602D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18602D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7B4F24FA" w14:textId="77777777" w:rsidR="00256ABC" w:rsidRPr="0018602D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602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HADRI.A    </w:t>
            </w:r>
          </w:p>
          <w:p w14:paraId="3147A899" w14:textId="264A96A3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602D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F205EE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EDA3F3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C2A0028" w14:textId="75B742CB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256ABC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256ABC" w:rsidRPr="00720937" w:rsidRDefault="00256ABC" w:rsidP="00256A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2BF8FD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58464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Management des équipes et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GRH    </w:t>
            </w:r>
          </w:p>
          <w:p w14:paraId="1ED4C048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62E141DD" w14:textId="7777777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605C21E7" w14:textId="76A8AA37" w:rsidR="00256ABC" w:rsidRPr="00720937" w:rsidRDefault="00256ABC" w:rsidP="00256AB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53AA" w14:textId="77777777" w:rsidR="00A02560" w:rsidRDefault="00A02560" w:rsidP="0014509F">
      <w:pPr>
        <w:spacing w:after="0" w:line="240" w:lineRule="auto"/>
      </w:pPr>
      <w:r>
        <w:separator/>
      </w:r>
    </w:p>
  </w:endnote>
  <w:endnote w:type="continuationSeparator" w:id="0">
    <w:p w14:paraId="6A935CD6" w14:textId="77777777" w:rsidR="00A02560" w:rsidRDefault="00A02560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9283" w14:textId="77777777" w:rsidR="00A02560" w:rsidRDefault="00A02560" w:rsidP="0014509F">
      <w:pPr>
        <w:spacing w:after="0" w:line="240" w:lineRule="auto"/>
      </w:pPr>
      <w:r>
        <w:separator/>
      </w:r>
    </w:p>
  </w:footnote>
  <w:footnote w:type="continuationSeparator" w:id="0">
    <w:p w14:paraId="7C829B6A" w14:textId="77777777" w:rsidR="00A02560" w:rsidRDefault="00A02560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18602D"/>
    <w:rsid w:val="00200D95"/>
    <w:rsid w:val="002029FC"/>
    <w:rsid w:val="00226057"/>
    <w:rsid w:val="00256ABC"/>
    <w:rsid w:val="00287699"/>
    <w:rsid w:val="002B752A"/>
    <w:rsid w:val="002B77E2"/>
    <w:rsid w:val="002B7DF3"/>
    <w:rsid w:val="003038FC"/>
    <w:rsid w:val="00304D21"/>
    <w:rsid w:val="003A7754"/>
    <w:rsid w:val="003D4259"/>
    <w:rsid w:val="003D46E0"/>
    <w:rsid w:val="00471CFB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8631C"/>
    <w:rsid w:val="006E436E"/>
    <w:rsid w:val="006F2ABA"/>
    <w:rsid w:val="00717594"/>
    <w:rsid w:val="00720937"/>
    <w:rsid w:val="00774046"/>
    <w:rsid w:val="007D2087"/>
    <w:rsid w:val="00840AC4"/>
    <w:rsid w:val="00912884"/>
    <w:rsid w:val="0098446F"/>
    <w:rsid w:val="00A02560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E810C9"/>
    <w:rsid w:val="00EA1095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F3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56</cp:revision>
  <cp:lastPrinted>2025-10-12T13:43:00Z</cp:lastPrinted>
  <dcterms:created xsi:type="dcterms:W3CDTF">2023-02-15T15:43:00Z</dcterms:created>
  <dcterms:modified xsi:type="dcterms:W3CDTF">2025-10-13T11:38:00Z</dcterms:modified>
</cp:coreProperties>
</file>