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79AE" w:rsidRDefault="009479AE"/>
    <w:p w:rsidR="003B6E42" w:rsidRPr="003B6E42" w:rsidRDefault="003B6E42" w:rsidP="003B6E42">
      <w:pPr>
        <w:pStyle w:val="Titre1"/>
        <w:spacing w:before="0" w:line="312" w:lineRule="atLeast"/>
        <w:rPr>
          <w:rFonts w:ascii="Roboto" w:hAnsi="Roboto"/>
          <w:color w:val="666666"/>
          <w:lang w:val="fr-FR"/>
        </w:rPr>
      </w:pPr>
      <w:r w:rsidRPr="003B6E42">
        <w:rPr>
          <w:rFonts w:ascii="Roboto" w:hAnsi="Roboto"/>
          <w:color w:val="666666"/>
          <w:lang w:val="fr-FR"/>
        </w:rPr>
        <w:t>Agro-alimentaire (secteur, filière, industrie…)</w:t>
      </w:r>
    </w:p>
    <w:p w:rsidR="003B6E42" w:rsidRPr="003B6E42" w:rsidRDefault="003B6E42" w:rsidP="003B6E42">
      <w:pPr>
        <w:rPr>
          <w:rFonts w:ascii="Times New Roman" w:hAnsi="Times New Roman"/>
          <w:lang w:val="fr-FR"/>
        </w:rPr>
      </w:pPr>
      <w:hyperlink r:id="rId5" w:tooltip="Télécharger cette page ou section au format PDF" w:history="1">
        <w:r w:rsidRPr="003B6E42">
          <w:rPr>
            <w:rStyle w:val="Lienhypertexte"/>
            <w:color w:val="E31E51"/>
            <w:u w:val="none"/>
            <w:bdr w:val="none" w:sz="0" w:space="0" w:color="auto" w:frame="1"/>
            <w:lang w:val="fr-FR"/>
          </w:rPr>
          <w:t>PDF</w:t>
        </w:r>
      </w:hyperlink>
    </w:p>
    <w:p w:rsidR="003B6E42" w:rsidRDefault="003B6E42" w:rsidP="003B6E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L’expression </w:t>
      </w:r>
      <w:r>
        <w:rPr>
          <w:rStyle w:val="lev"/>
          <w:rFonts w:ascii="Roboto" w:eastAsiaTheme="majorEastAsia" w:hAnsi="Roboto"/>
          <w:color w:val="000000"/>
          <w:sz w:val="27"/>
          <w:szCs w:val="27"/>
        </w:rPr>
        <w:t>agro-alimentaire</w:t>
      </w:r>
      <w:r>
        <w:rPr>
          <w:rFonts w:ascii="Roboto" w:hAnsi="Roboto"/>
          <w:color w:val="000000"/>
          <w:sz w:val="27"/>
          <w:szCs w:val="27"/>
        </w:rPr>
        <w:t> désigne l’intégration des </w:t>
      </w:r>
      <w:hyperlink r:id="rId6" w:history="1">
        <w:r>
          <w:rPr>
            <w:rStyle w:val="Lienhypertexte"/>
            <w:rFonts w:ascii="Roboto" w:hAnsi="Roboto"/>
            <w:color w:val="E31E51"/>
            <w:sz w:val="27"/>
            <w:szCs w:val="27"/>
            <w:u w:val="none"/>
            <w:bdr w:val="none" w:sz="0" w:space="0" w:color="auto" w:frame="1"/>
          </w:rPr>
          <w:t>acteurs</w:t>
        </w:r>
      </w:hyperlink>
      <w:r>
        <w:rPr>
          <w:rFonts w:ascii="Roboto" w:hAnsi="Roboto"/>
          <w:color w:val="000000"/>
          <w:sz w:val="27"/>
          <w:szCs w:val="27"/>
        </w:rPr>
        <w:t> de la production agricole avec les acteurs d’amont et d’aval. Le </w:t>
      </w:r>
      <w:r>
        <w:rPr>
          <w:rStyle w:val="lev"/>
          <w:rFonts w:ascii="Roboto" w:eastAsiaTheme="majorEastAsia" w:hAnsi="Roboto"/>
          <w:color w:val="000000"/>
          <w:sz w:val="27"/>
          <w:szCs w:val="27"/>
        </w:rPr>
        <w:t>secteur</w:t>
      </w:r>
      <w:r>
        <w:rPr>
          <w:rFonts w:ascii="Roboto" w:hAnsi="Roboto"/>
          <w:color w:val="000000"/>
          <w:sz w:val="27"/>
          <w:szCs w:val="27"/>
        </w:rPr>
        <w:t> agro-alimentaire désigne l’ensemble des acteurs, et la notion de </w:t>
      </w:r>
      <w:r>
        <w:rPr>
          <w:rStyle w:val="lev"/>
          <w:rFonts w:ascii="Roboto" w:eastAsiaTheme="majorEastAsia" w:hAnsi="Roboto"/>
          <w:color w:val="000000"/>
          <w:sz w:val="27"/>
          <w:szCs w:val="27"/>
        </w:rPr>
        <w:t>filière</w:t>
      </w:r>
      <w:r>
        <w:rPr>
          <w:rFonts w:ascii="Roboto" w:hAnsi="Roboto"/>
          <w:color w:val="000000"/>
          <w:sz w:val="27"/>
          <w:szCs w:val="27"/>
        </w:rPr>
        <w:t> rappelle que ces acteurs sont intégrés dans un processus productif. On parle souvent </w:t>
      </w:r>
      <w:r>
        <w:rPr>
          <w:rStyle w:val="lev"/>
          <w:rFonts w:ascii="Roboto" w:eastAsiaTheme="majorEastAsia" w:hAnsi="Roboto"/>
          <w:color w:val="000000"/>
          <w:sz w:val="27"/>
          <w:szCs w:val="27"/>
        </w:rPr>
        <w:t>industries </w:t>
      </w:r>
      <w:r>
        <w:rPr>
          <w:rFonts w:ascii="Roboto" w:hAnsi="Roboto"/>
          <w:color w:val="000000"/>
          <w:sz w:val="27"/>
          <w:szCs w:val="27"/>
        </w:rPr>
        <w:t>agro-alimentaires, à raison car localement les lieux de transformation des produits agricoles concentrent parfois une part importante de l’emploi rural, mais le secteur regroupe des activités des trois </w:t>
      </w:r>
      <w:hyperlink r:id="rId7" w:history="1">
        <w:r>
          <w:rPr>
            <w:rStyle w:val="Lienhypertexte"/>
            <w:rFonts w:ascii="Roboto" w:hAnsi="Roboto"/>
            <w:color w:val="E31E51"/>
            <w:sz w:val="27"/>
            <w:szCs w:val="27"/>
            <w:u w:val="none"/>
            <w:bdr w:val="none" w:sz="0" w:space="0" w:color="auto" w:frame="1"/>
          </w:rPr>
          <w:t>secteurs productifs</w:t>
        </w:r>
      </w:hyperlink>
      <w:r>
        <w:rPr>
          <w:rFonts w:ascii="Roboto" w:hAnsi="Roboto"/>
          <w:color w:val="000000"/>
          <w:sz w:val="27"/>
          <w:szCs w:val="27"/>
        </w:rPr>
        <w:t>.</w:t>
      </w:r>
    </w:p>
    <w:p w:rsidR="003B6E42" w:rsidRDefault="003B6E42" w:rsidP="003B6E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L’</w:t>
      </w:r>
      <w:hyperlink r:id="rId8" w:history="1">
        <w:r>
          <w:rPr>
            <w:rStyle w:val="Lienhypertexte"/>
            <w:rFonts w:ascii="Roboto" w:hAnsi="Roboto"/>
            <w:color w:val="E31E51"/>
            <w:sz w:val="27"/>
            <w:szCs w:val="27"/>
            <w:u w:val="none"/>
            <w:bdr w:val="none" w:sz="0" w:space="0" w:color="auto" w:frame="1"/>
          </w:rPr>
          <w:t>agriculture</w:t>
        </w:r>
      </w:hyperlink>
      <w:r>
        <w:rPr>
          <w:rFonts w:ascii="Roboto" w:hAnsi="Roboto"/>
          <w:color w:val="000000"/>
          <w:sz w:val="27"/>
          <w:szCs w:val="27"/>
        </w:rPr>
        <w:t> et ses acteurs sont au centre du système. En </w:t>
      </w:r>
      <w:r>
        <w:rPr>
          <w:rStyle w:val="lev"/>
          <w:rFonts w:ascii="Roboto" w:eastAsiaTheme="majorEastAsia" w:hAnsi="Roboto"/>
          <w:color w:val="000000"/>
          <w:sz w:val="27"/>
          <w:szCs w:val="27"/>
        </w:rPr>
        <w:t>amont</w:t>
      </w:r>
      <w:r>
        <w:rPr>
          <w:rFonts w:ascii="Roboto" w:hAnsi="Roboto"/>
          <w:color w:val="000000"/>
          <w:sz w:val="27"/>
          <w:szCs w:val="27"/>
        </w:rPr>
        <w:t>, on trouve principalement des services (banque, assurance, mécanique, soins vétérinaires…) mais aussi des industries (engrais, produits phytosanitaires) et d’autres productions agricoles transformés (granulés pour le bétail, semences…). Les activités d’</w:t>
      </w:r>
      <w:r>
        <w:rPr>
          <w:rStyle w:val="lev"/>
          <w:rFonts w:ascii="Roboto" w:eastAsiaTheme="majorEastAsia" w:hAnsi="Roboto"/>
          <w:color w:val="000000"/>
          <w:sz w:val="27"/>
          <w:szCs w:val="27"/>
        </w:rPr>
        <w:t>aval </w:t>
      </w:r>
      <w:r>
        <w:rPr>
          <w:rFonts w:ascii="Roboto" w:hAnsi="Roboto"/>
          <w:color w:val="000000"/>
          <w:sz w:val="27"/>
          <w:szCs w:val="27"/>
        </w:rPr>
        <w:t>comprennent la transformation et le conditionnement (conserveries…), la </w:t>
      </w:r>
      <w:hyperlink r:id="rId9" w:history="1">
        <w:r>
          <w:rPr>
            <w:rStyle w:val="Lienhypertexte"/>
            <w:rFonts w:ascii="Roboto" w:hAnsi="Roboto"/>
            <w:color w:val="E31E51"/>
            <w:sz w:val="27"/>
            <w:szCs w:val="27"/>
            <w:u w:val="none"/>
            <w:bdr w:val="none" w:sz="0" w:space="0" w:color="auto" w:frame="1"/>
          </w:rPr>
          <w:t>logistique</w:t>
        </w:r>
      </w:hyperlink>
      <w:r>
        <w:rPr>
          <w:rFonts w:ascii="Roboto" w:hAnsi="Roboto"/>
          <w:color w:val="000000"/>
          <w:sz w:val="27"/>
          <w:szCs w:val="27"/>
        </w:rPr>
        <w:t> et la commercialisation (marchés au cadran, grande distribution…).</w:t>
      </w:r>
    </w:p>
    <w:p w:rsidR="003B6E42" w:rsidRDefault="003B6E42" w:rsidP="003B6E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Dans bien des cas, les acteurs de la filière agroalimentaires sont des acteurs locaux, intégrés dans un </w:t>
      </w:r>
      <w:hyperlink r:id="rId10" w:history="1">
        <w:r>
          <w:rPr>
            <w:rStyle w:val="Lienhypertexte"/>
            <w:rFonts w:ascii="Roboto" w:hAnsi="Roboto"/>
            <w:color w:val="E31E51"/>
            <w:sz w:val="27"/>
            <w:szCs w:val="27"/>
            <w:u w:val="none"/>
            <w:bdr w:val="none" w:sz="0" w:space="0" w:color="auto" w:frame="1"/>
          </w:rPr>
          <w:t>espace productif</w:t>
        </w:r>
      </w:hyperlink>
      <w:r>
        <w:rPr>
          <w:rFonts w:ascii="Roboto" w:hAnsi="Roboto"/>
          <w:color w:val="000000"/>
          <w:sz w:val="27"/>
          <w:szCs w:val="27"/>
        </w:rPr>
        <w:t>. Par exemple, en France, dans le système choletais ou vendéen, le tissu industriel agro-alimentaire est fait de petites entreprises gérées par des entrepreneurs locaux en lien (parfois familial) avec les exploitants agricoles. Toutefois, dans les pays riches, depuis la révolution productiviste du XX</w:t>
      </w:r>
      <w:r>
        <w:rPr>
          <w:rFonts w:ascii="Roboto" w:hAnsi="Roboto"/>
          <w:color w:val="000000"/>
          <w:sz w:val="27"/>
          <w:szCs w:val="27"/>
          <w:vertAlign w:val="superscript"/>
        </w:rPr>
        <w:t>e</w:t>
      </w:r>
      <w:r>
        <w:rPr>
          <w:rFonts w:ascii="Roboto" w:hAnsi="Roboto"/>
          <w:color w:val="000000"/>
          <w:sz w:val="27"/>
          <w:szCs w:val="27"/>
        </w:rPr>
        <w:t> siècle, plus aucun </w:t>
      </w:r>
      <w:hyperlink r:id="rId11" w:history="1">
        <w:r>
          <w:rPr>
            <w:rStyle w:val="Lienhypertexte"/>
            <w:rFonts w:ascii="Roboto" w:hAnsi="Roboto"/>
            <w:color w:val="E31E51"/>
            <w:sz w:val="27"/>
            <w:szCs w:val="27"/>
            <w:u w:val="none"/>
            <w:bdr w:val="none" w:sz="0" w:space="0" w:color="auto" w:frame="1"/>
          </w:rPr>
          <w:t>système productif agro-alimentaire</w:t>
        </w:r>
      </w:hyperlink>
      <w:r>
        <w:rPr>
          <w:rFonts w:ascii="Roboto" w:hAnsi="Roboto"/>
          <w:color w:val="000000"/>
          <w:sz w:val="27"/>
          <w:szCs w:val="27"/>
        </w:rPr>
        <w:t> n’est exempté d’un rôle important joué par les </w:t>
      </w:r>
      <w:hyperlink r:id="rId12" w:history="1">
        <w:r>
          <w:rPr>
            <w:rStyle w:val="Lienhypertexte"/>
            <w:rFonts w:ascii="Roboto" w:hAnsi="Roboto"/>
            <w:color w:val="E31E51"/>
            <w:sz w:val="27"/>
            <w:szCs w:val="27"/>
            <w:u w:val="none"/>
            <w:bdr w:val="none" w:sz="0" w:space="0" w:color="auto" w:frame="1"/>
          </w:rPr>
          <w:t>multinationales</w:t>
        </w:r>
      </w:hyperlink>
      <w:r>
        <w:rPr>
          <w:rFonts w:ascii="Roboto" w:hAnsi="Roboto"/>
          <w:color w:val="000000"/>
          <w:sz w:val="27"/>
          <w:szCs w:val="27"/>
        </w:rPr>
        <w:t> de l’</w:t>
      </w:r>
      <w:hyperlink r:id="rId13" w:history="1">
        <w:r>
          <w:rPr>
            <w:rStyle w:val="Lienhypertexte"/>
            <w:rFonts w:ascii="Roboto" w:hAnsi="Roboto"/>
            <w:color w:val="E31E51"/>
            <w:sz w:val="27"/>
            <w:szCs w:val="27"/>
            <w:u w:val="none"/>
            <w:bdr w:val="none" w:sz="0" w:space="0" w:color="auto" w:frame="1"/>
          </w:rPr>
          <w:t>agrobusiness</w:t>
        </w:r>
      </w:hyperlink>
      <w:r>
        <w:rPr>
          <w:rFonts w:ascii="Roboto" w:hAnsi="Roboto"/>
          <w:color w:val="000000"/>
          <w:sz w:val="27"/>
          <w:szCs w:val="27"/>
        </w:rPr>
        <w:t xml:space="preserve">. Deux oligopoles s’imposent (Tordjman, 2023, p. 228) : en amont, le « big four » de l’agrochimie (BASF, Bayer-Monsanto, </w:t>
      </w:r>
      <w:proofErr w:type="spellStart"/>
      <w:r>
        <w:rPr>
          <w:rFonts w:ascii="Roboto" w:hAnsi="Roboto"/>
          <w:color w:val="000000"/>
          <w:sz w:val="27"/>
          <w:szCs w:val="27"/>
        </w:rPr>
        <w:t>Corteva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– Du Pont-Dow –, Syngenta) ; en aval, les géants du négoce (ABCD : Archer Daniel Midlands, </w:t>
      </w:r>
      <w:proofErr w:type="spellStart"/>
      <w:r>
        <w:rPr>
          <w:rFonts w:ascii="Roboto" w:hAnsi="Roboto"/>
          <w:color w:val="000000"/>
          <w:sz w:val="27"/>
          <w:szCs w:val="27"/>
        </w:rPr>
        <w:t>Bunge</w:t>
      </w:r>
      <w:proofErr w:type="spellEnd"/>
      <w:r>
        <w:rPr>
          <w:rFonts w:ascii="Roboto" w:hAnsi="Roboto"/>
          <w:color w:val="000000"/>
          <w:sz w:val="27"/>
          <w:szCs w:val="27"/>
        </w:rPr>
        <w:t>, Cargill, Dreyfuss) (</w:t>
      </w:r>
      <w:r>
        <w:rPr>
          <w:rStyle w:val="Accentuation"/>
          <w:rFonts w:ascii="Roboto" w:hAnsi="Roboto"/>
          <w:color w:val="000000"/>
          <w:sz w:val="27"/>
          <w:szCs w:val="27"/>
        </w:rPr>
        <w:t>ibid.</w:t>
      </w:r>
      <w:r>
        <w:rPr>
          <w:rFonts w:ascii="Roboto" w:hAnsi="Roboto"/>
          <w:color w:val="000000"/>
          <w:sz w:val="27"/>
          <w:szCs w:val="27"/>
        </w:rPr>
        <w:t>). Certains de ces puissants groupes ont fait l’objet des critiques les plus vives quant à leurs pratiques et aux conséquences de leurs activités : ainsi les semences génétiquement modifiées produites par le géant Monsanto ont provoqué des </w:t>
      </w:r>
      <w:hyperlink r:id="rId14" w:history="1">
        <w:r>
          <w:rPr>
            <w:rStyle w:val="Lienhypertexte"/>
            <w:rFonts w:ascii="Roboto" w:hAnsi="Roboto"/>
            <w:color w:val="E31E51"/>
            <w:sz w:val="27"/>
            <w:szCs w:val="27"/>
            <w:u w:val="none"/>
            <w:bdr w:val="none" w:sz="0" w:space="0" w:color="auto" w:frame="1"/>
          </w:rPr>
          <w:t>controverses</w:t>
        </w:r>
      </w:hyperlink>
      <w:r>
        <w:rPr>
          <w:rFonts w:ascii="Roboto" w:hAnsi="Roboto"/>
          <w:color w:val="000000"/>
          <w:sz w:val="27"/>
          <w:szCs w:val="27"/>
        </w:rPr>
        <w:t> médiatisées qui restent ouvertes aujourd’hui. À Washington, comme à Bruxelles ou Paris, les lobbies agro-alimentaires dépensent des sommes considérables pour influencer le législateur, par exemple récemment dans le dossier du glyphosate.</w:t>
      </w:r>
    </w:p>
    <w:p w:rsidR="003B6E42" w:rsidRDefault="003B6E42" w:rsidP="003B6E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La notion de </w:t>
      </w:r>
      <w:hyperlink r:id="rId15" w:history="1">
        <w:r>
          <w:rPr>
            <w:rStyle w:val="Lienhypertexte"/>
            <w:rFonts w:ascii="Roboto" w:hAnsi="Roboto"/>
            <w:color w:val="E31E51"/>
            <w:sz w:val="27"/>
            <w:szCs w:val="27"/>
            <w:u w:val="none"/>
            <w:bdr w:val="none" w:sz="0" w:space="0" w:color="auto" w:frame="1"/>
          </w:rPr>
          <w:t>transition agro-alimentaire</w:t>
        </w:r>
      </w:hyperlink>
      <w:r>
        <w:rPr>
          <w:rFonts w:ascii="Roboto" w:hAnsi="Roboto"/>
          <w:color w:val="000000"/>
          <w:sz w:val="27"/>
          <w:szCs w:val="27"/>
        </w:rPr>
        <w:t> désigne l’ensemble des changements nécessaires pour une agriculture plus durable, et une alimentation suffisante et plus saine pour la plus grande part possible de l’humanité.</w:t>
      </w:r>
    </w:p>
    <w:p w:rsidR="003B6E42" w:rsidRPr="00012040" w:rsidRDefault="003B6E42" w:rsidP="0001204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Roboto" w:hAnsi="Roboto"/>
          <w:color w:val="000000"/>
          <w:sz w:val="27"/>
          <w:szCs w:val="27"/>
        </w:rPr>
      </w:pPr>
      <w:r>
        <w:rPr>
          <w:rStyle w:val="discreet"/>
          <w:rFonts w:ascii="Roboto" w:hAnsi="Roboto"/>
          <w:color w:val="666666"/>
          <w:sz w:val="23"/>
          <w:szCs w:val="23"/>
        </w:rPr>
        <w:t>(JBB) septembre 2022. Dernière mise à jour : février 2024, janvier 2025.</w:t>
      </w:r>
    </w:p>
    <w:sectPr w:rsidR="003B6E42" w:rsidRPr="0001204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1477"/>
    <w:multiLevelType w:val="multilevel"/>
    <w:tmpl w:val="9036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4B5F4B"/>
    <w:multiLevelType w:val="multilevel"/>
    <w:tmpl w:val="2468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436329"/>
    <w:multiLevelType w:val="multilevel"/>
    <w:tmpl w:val="E47E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938126">
    <w:abstractNumId w:val="1"/>
  </w:num>
  <w:num w:numId="2" w16cid:durableId="1753970776">
    <w:abstractNumId w:val="0"/>
  </w:num>
  <w:num w:numId="3" w16cid:durableId="1188986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42"/>
    <w:rsid w:val="00012040"/>
    <w:rsid w:val="00354CBE"/>
    <w:rsid w:val="003B6E42"/>
    <w:rsid w:val="009479AE"/>
    <w:rsid w:val="00C6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49A3"/>
  <w15:chartTrackingRefBased/>
  <w15:docId w15:val="{C70DC648-7813-4E91-8635-03D1B888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6E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3B6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B6E42"/>
    <w:rPr>
      <w:rFonts w:ascii="Times New Roman" w:eastAsia="Times New Roman" w:hAnsi="Times New Roman" w:cs="Times New Roman"/>
      <w:b/>
      <w:bCs/>
      <w:kern w:val="0"/>
      <w:sz w:val="27"/>
      <w:szCs w:val="27"/>
      <w:lang w:val="fr-FR" w:eastAsia="fr-FR"/>
      <w14:ligatures w14:val="none"/>
    </w:rPr>
  </w:style>
  <w:style w:type="character" w:customStyle="1" w:styleId="inplaceeditable">
    <w:name w:val="inplaceeditable"/>
    <w:basedOn w:val="Policepardfaut"/>
    <w:rsid w:val="003B6E42"/>
  </w:style>
  <w:style w:type="character" w:styleId="Lienhypertexte">
    <w:name w:val="Hyperlink"/>
    <w:basedOn w:val="Policepardfaut"/>
    <w:uiPriority w:val="99"/>
    <w:semiHidden/>
    <w:unhideWhenUsed/>
    <w:rsid w:val="003B6E42"/>
    <w:rPr>
      <w:color w:val="0000FF"/>
      <w:u w:val="single"/>
    </w:rPr>
  </w:style>
  <w:style w:type="character" w:customStyle="1" w:styleId="collapseall">
    <w:name w:val="collapseall"/>
    <w:basedOn w:val="Policepardfaut"/>
    <w:rsid w:val="003B6E42"/>
  </w:style>
  <w:style w:type="paragraph" w:styleId="NormalWeb">
    <w:name w:val="Normal (Web)"/>
    <w:basedOn w:val="Normal"/>
    <w:uiPriority w:val="99"/>
    <w:unhideWhenUsed/>
    <w:rsid w:val="003B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3B6E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ev">
    <w:name w:val="Strong"/>
    <w:basedOn w:val="Policepardfaut"/>
    <w:uiPriority w:val="22"/>
    <w:qFormat/>
    <w:rsid w:val="003B6E42"/>
    <w:rPr>
      <w:b/>
      <w:bCs/>
    </w:rPr>
  </w:style>
  <w:style w:type="character" w:styleId="Accentuation">
    <w:name w:val="Emphasis"/>
    <w:basedOn w:val="Policepardfaut"/>
    <w:uiPriority w:val="20"/>
    <w:qFormat/>
    <w:rsid w:val="003B6E42"/>
    <w:rPr>
      <w:i/>
      <w:iCs/>
    </w:rPr>
  </w:style>
  <w:style w:type="character" w:customStyle="1" w:styleId="discreet">
    <w:name w:val="discreet"/>
    <w:basedOn w:val="Policepardfaut"/>
    <w:rsid w:val="003B6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confluences.ens-lyon.fr/glossaire/agriculture" TargetMode="External"/><Relationship Id="rId13" Type="http://schemas.openxmlformats.org/officeDocument/2006/relationships/hyperlink" Target="https://geoconfluences.ens-lyon.fr/glossaire/agrobusiness-agro-export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oconfluences.ens-lyon.fr/glossaire/secteurs-de-production-ou-secteurs-economiques-primaire-secondaire-tertiaire" TargetMode="External"/><Relationship Id="rId12" Type="http://schemas.openxmlformats.org/officeDocument/2006/relationships/hyperlink" Target="https://geoconfluences.ens-lyon.fr/glossaire/multinational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eoconfluences.ens-lyon.fr/glossaire/acteurs-spatiaux-action-spatiale" TargetMode="External"/><Relationship Id="rId11" Type="http://schemas.openxmlformats.org/officeDocument/2006/relationships/hyperlink" Target="https://geoconfluences.ens-lyon.fr/glossaire/systemes-de-production" TargetMode="External"/><Relationship Id="rId5" Type="http://schemas.openxmlformats.org/officeDocument/2006/relationships/hyperlink" Target="https://geoconfluences.ens-lyon.fr/glossaire/agro-alimentaire-secteur-filiere-industrie/@@openPDF?uid=650dc362fd8e42c4b3d3b359191cd015&amp;id=agro-alimentaire-secteur-filiere-industrie" TargetMode="External"/><Relationship Id="rId15" Type="http://schemas.openxmlformats.org/officeDocument/2006/relationships/hyperlink" Target="https://geoconfluences.ens-lyon.fr/glossaire/transition-agro-alimentaire" TargetMode="External"/><Relationship Id="rId10" Type="http://schemas.openxmlformats.org/officeDocument/2006/relationships/hyperlink" Target="https://geoconfluences.ens-lyon.fr/glossaire/espace-producti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confluences.ens-lyon.fr/glossaire/logistique-et-supply-chain" TargetMode="External"/><Relationship Id="rId14" Type="http://schemas.openxmlformats.org/officeDocument/2006/relationships/hyperlink" Target="https://geoconfluences.ens-lyon.fr/glossaire/controvers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Chekroun Nadjat</dc:creator>
  <cp:keywords/>
  <dc:description/>
  <cp:lastModifiedBy>Chekroun Nadjat</cp:lastModifiedBy>
  <cp:revision>1</cp:revision>
  <dcterms:created xsi:type="dcterms:W3CDTF">2025-10-09T08:32:00Z</dcterms:created>
  <dcterms:modified xsi:type="dcterms:W3CDTF">2025-10-09T08:47:00Z</dcterms:modified>
</cp:coreProperties>
</file>