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F7" w:rsidRDefault="002436F7" w:rsidP="002436F7">
      <w:pPr>
        <w:bidi/>
        <w:spacing w:after="158" w:line="240" w:lineRule="auto"/>
        <w:ind w:firstLine="708"/>
        <w:jc w:val="both"/>
        <w:outlineLvl w:val="1"/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lang w:val="en-US" w:bidi="ar-DZ"/>
        </w:rPr>
      </w:pPr>
      <w:r>
        <w:rPr>
          <w:rFonts w:ascii="Sakkal Majalla" w:eastAsia="Times New Roman" w:hAnsi="Sakkal Majalla" w:cs="Sakkal Majalla" w:hint="cs"/>
          <w:b/>
          <w:bCs/>
          <w:color w:val="333333"/>
          <w:sz w:val="32"/>
          <w:szCs w:val="32"/>
          <w:rtl/>
          <w:lang w:val="en-US" w:bidi="ar-DZ"/>
        </w:rPr>
        <w:t xml:space="preserve">                                                        </w:t>
      </w:r>
      <w:r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val="en-US" w:bidi="ar-DZ"/>
        </w:rPr>
        <w:t>مناهج البحث عند مفكري الإسلام</w:t>
      </w:r>
    </w:p>
    <w:p w:rsidR="002436F7" w:rsidRDefault="002436F7" w:rsidP="002436F7">
      <w:pPr>
        <w:bidi/>
        <w:spacing w:after="158" w:line="240" w:lineRule="auto"/>
        <w:ind w:firstLine="708"/>
        <w:jc w:val="center"/>
        <w:outlineLvl w:val="1"/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val="en-US" w:bidi="ar-DZ"/>
        </w:rPr>
      </w:pPr>
      <w:r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lang w:val="en-US" w:bidi="ar-DZ"/>
        </w:rPr>
        <w:t>M1S1</w:t>
      </w:r>
    </w:p>
    <w:p w:rsidR="002436F7" w:rsidRDefault="002436F7" w:rsidP="002436F7">
      <w:pPr>
        <w:bidi/>
        <w:spacing w:after="158" w:line="240" w:lineRule="auto"/>
        <w:ind w:firstLine="708"/>
        <w:jc w:val="both"/>
        <w:outlineLvl w:val="1"/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lang w:val="en-US" w:bidi="ar-DZ"/>
        </w:rPr>
      </w:pPr>
      <w:r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val="en-US" w:bidi="ar-DZ"/>
        </w:rPr>
        <w:t xml:space="preserve">                 </w:t>
      </w:r>
      <w:r>
        <w:rPr>
          <w:rFonts w:ascii="Sakkal Majalla" w:eastAsia="Times New Roman" w:hAnsi="Sakkal Majalla" w:cs="Sakkal Majalla" w:hint="cs"/>
          <w:b/>
          <w:bCs/>
          <w:color w:val="333333"/>
          <w:sz w:val="32"/>
          <w:szCs w:val="32"/>
          <w:rtl/>
          <w:lang w:val="en-US" w:bidi="ar-DZ"/>
        </w:rPr>
        <w:t xml:space="preserve">                  </w:t>
      </w:r>
      <w:r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val="en-US" w:bidi="ar-DZ"/>
        </w:rPr>
        <w:t xml:space="preserve">                                   التدريس عن بعد</w:t>
      </w:r>
    </w:p>
    <w:p w:rsidR="002436F7" w:rsidRDefault="002436F7" w:rsidP="002436F7">
      <w:pPr>
        <w:bidi/>
        <w:spacing w:after="158" w:line="240" w:lineRule="auto"/>
        <w:ind w:firstLine="708"/>
        <w:jc w:val="center"/>
        <w:outlineLvl w:val="1"/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lang w:val="en-US" w:bidi="ar-DZ"/>
        </w:rPr>
      </w:pPr>
      <w:r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val="en-US" w:bidi="ar-DZ"/>
        </w:rPr>
        <w:t xml:space="preserve">الأستاذ: فؤاد </w:t>
      </w:r>
      <w:proofErr w:type="spellStart"/>
      <w:r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val="en-US" w:bidi="ar-DZ"/>
        </w:rPr>
        <w:t>قريمس</w:t>
      </w:r>
      <w:proofErr w:type="spellEnd"/>
    </w:p>
    <w:p w:rsidR="002436F7" w:rsidRDefault="002436F7" w:rsidP="002436F7">
      <w:pPr>
        <w:bidi/>
        <w:spacing w:after="158" w:line="240" w:lineRule="auto"/>
        <w:ind w:firstLine="708"/>
        <w:jc w:val="both"/>
        <w:outlineLvl w:val="1"/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bidi="ar-DZ"/>
        </w:rPr>
      </w:pPr>
      <w:r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val="en-US" w:bidi="ar-DZ"/>
        </w:rPr>
        <w:t xml:space="preserve">              </w:t>
      </w:r>
      <w:r>
        <w:rPr>
          <w:rFonts w:ascii="Sakkal Majalla" w:eastAsia="Times New Roman" w:hAnsi="Sakkal Majalla" w:cs="Sakkal Majalla" w:hint="cs"/>
          <w:b/>
          <w:bCs/>
          <w:color w:val="333333"/>
          <w:sz w:val="32"/>
          <w:szCs w:val="32"/>
          <w:rtl/>
          <w:lang w:val="en-US" w:bidi="ar-DZ"/>
        </w:rPr>
        <w:t xml:space="preserve">                         </w:t>
      </w:r>
      <w:r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val="en-US" w:bidi="ar-DZ"/>
        </w:rPr>
        <w:t xml:space="preserve">         </w:t>
      </w:r>
      <w:proofErr w:type="gramStart"/>
      <w:r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val="en-US" w:bidi="ar-DZ"/>
        </w:rPr>
        <w:t>البريد</w:t>
      </w:r>
      <w:proofErr w:type="gramEnd"/>
      <w:r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val="en-US" w:bidi="ar-DZ"/>
        </w:rPr>
        <w:t xml:space="preserve"> الالكتروني: </w:t>
      </w:r>
      <w:hyperlink r:id="rId5" w:history="1">
        <w:r>
          <w:rPr>
            <w:rStyle w:val="Lienhypertexte"/>
            <w:rFonts w:ascii="Sakkal Majalla" w:hAnsi="Sakkal Majalla" w:cs="Sakkal Majalla"/>
            <w:b/>
            <w:bCs/>
            <w:sz w:val="32"/>
            <w:szCs w:val="32"/>
            <w:lang w:bidi="ar-DZ"/>
          </w:rPr>
          <w:t>grimesfouad@gmail.com</w:t>
        </w:r>
      </w:hyperlink>
      <w:r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lang w:bidi="ar-DZ"/>
        </w:rPr>
        <w:t xml:space="preserve"> </w:t>
      </w:r>
    </w:p>
    <w:p w:rsidR="002436F7" w:rsidRDefault="002436F7" w:rsidP="002436F7">
      <w:pPr>
        <w:bidi/>
        <w:spacing w:after="158" w:line="240" w:lineRule="auto"/>
        <w:ind w:firstLine="708"/>
        <w:jc w:val="center"/>
        <w:outlineLvl w:val="1"/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lang w:val="en-US" w:bidi="ar-DZ"/>
        </w:rPr>
      </w:pPr>
      <w:r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val="en-US" w:bidi="ar-DZ"/>
        </w:rPr>
        <w:t>السنة الجامعية: 2025-2026</w:t>
      </w:r>
    </w:p>
    <w:p w:rsidR="002436F7" w:rsidRPr="002436F7" w:rsidRDefault="002436F7" w:rsidP="002436F7">
      <w:pPr>
        <w:widowControl w:val="0"/>
        <w:bidi/>
        <w:ind w:firstLine="720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sz w:val="40"/>
          <w:szCs w:val="40"/>
          <w:rtl/>
        </w:rPr>
        <w:t xml:space="preserve">    </w:t>
      </w:r>
      <w:r>
        <w:rPr>
          <w:rFonts w:hint="cs"/>
          <w:sz w:val="40"/>
          <w:szCs w:val="40"/>
          <w:rtl/>
        </w:rPr>
        <w:t xml:space="preserve">                     </w:t>
      </w:r>
      <w:r>
        <w:rPr>
          <w:sz w:val="40"/>
          <w:szCs w:val="40"/>
          <w:rtl/>
        </w:rPr>
        <w:t xml:space="preserve">   </w:t>
      </w:r>
      <w:r>
        <w:rPr>
          <w:sz w:val="36"/>
          <w:szCs w:val="36"/>
          <w:rtl/>
        </w:rPr>
        <w:t xml:space="preserve">دروس عبر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</w:rPr>
        <w:t>Moodle</w:t>
      </w:r>
      <w:proofErr w:type="spellEnd"/>
    </w:p>
    <w:p w:rsidR="006276A1" w:rsidRPr="006276A1" w:rsidRDefault="006276A1" w:rsidP="002436F7">
      <w:pPr>
        <w:pStyle w:val="Titre1"/>
        <w:bidi/>
        <w:rPr>
          <w:rFonts w:ascii="Sakkal Majalla" w:hAnsi="Sakkal Majalla" w:cs="Sakkal Majalla"/>
          <w:sz w:val="28"/>
          <w:szCs w:val="28"/>
        </w:rPr>
      </w:pPr>
      <w:r w:rsidRPr="006276A1">
        <w:rPr>
          <w:rFonts w:ascii="Sakkal Majalla" w:hAnsi="Sakkal Majalla" w:cs="Sakkal Majalla"/>
          <w:sz w:val="28"/>
          <w:szCs w:val="28"/>
          <w:rtl/>
        </w:rPr>
        <w:t xml:space="preserve">المنهج المنطقي والمنهج الذوقي: المنطق </w:t>
      </w:r>
      <w:proofErr w:type="spellStart"/>
      <w:r w:rsidRPr="006276A1">
        <w:rPr>
          <w:rFonts w:ascii="Sakkal Majalla" w:hAnsi="Sakkal Majalla" w:cs="Sakkal Majalla"/>
          <w:sz w:val="28"/>
          <w:szCs w:val="28"/>
          <w:rtl/>
        </w:rPr>
        <w:t>الإشراقي</w:t>
      </w:r>
      <w:proofErr w:type="spellEnd"/>
      <w:r w:rsidRPr="006276A1">
        <w:rPr>
          <w:rFonts w:ascii="Sakkal Majalla" w:hAnsi="Sakkal Majalla" w:cs="Sakkal Majalla"/>
          <w:sz w:val="28"/>
          <w:szCs w:val="28"/>
          <w:rtl/>
        </w:rPr>
        <w:t xml:space="preserve"> عند </w:t>
      </w:r>
      <w:proofErr w:type="spellStart"/>
      <w:r w:rsidRPr="006276A1">
        <w:rPr>
          <w:rFonts w:ascii="Sakkal Majalla" w:hAnsi="Sakkal Majalla" w:cs="Sakkal Majalla"/>
          <w:sz w:val="28"/>
          <w:szCs w:val="28"/>
          <w:rtl/>
        </w:rPr>
        <w:t>السهروردي</w:t>
      </w:r>
      <w:proofErr w:type="spellEnd"/>
    </w:p>
    <w:p w:rsidR="006276A1" w:rsidRPr="006276A1" w:rsidRDefault="006276A1" w:rsidP="006276A1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مقدمة</w:t>
      </w:r>
    </w:p>
    <w:p w:rsidR="006276A1" w:rsidRPr="006276A1" w:rsidRDefault="006276A1" w:rsidP="006276A1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rtl/>
          <w:lang w:bidi="ar-DZ"/>
        </w:rPr>
      </w:pP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يُعدّ شهاب الدين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السهروردي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(549–587هـ/1153–1191م) من أبرز الفلاسفة المتأخرين الذين سعوا إلى تجاوز حدود المنظومة الأرسطية الصارمة، وذلك عبر بناء مذهب فلسفي جديد سماه </w:t>
      </w:r>
      <w:r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الحكمة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الإشراقية</w:t>
      </w:r>
      <w:proofErr w:type="spellEnd"/>
      <w:r>
        <w:rPr>
          <w:rFonts w:ascii="Sakkal Majalla" w:eastAsia="Times New Roman" w:hAnsi="Sakkal Majalla" w:cs="Sakkal Majalla" w:hint="cs"/>
          <w:sz w:val="28"/>
          <w:szCs w:val="28"/>
          <w:rtl/>
        </w:rPr>
        <w:t>"،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وهو مذهب يجمع بين </w:t>
      </w: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المنهج المنطقي </w:t>
      </w:r>
      <w:proofErr w:type="spellStart"/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البرهاني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و</w:t>
      </w: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المنهج الذوقي </w:t>
      </w:r>
      <w:proofErr w:type="spellStart"/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الإشراقي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القائم على الكشف الروحي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br/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وقد شكّل مشروعه محاولة لإعادة الاعتبار للمعرفة الحدسية في مواجهة سيطرة المنطق الصوري على التفكير الفلسفي الإسلامي منذ ابن سينا.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فالسهروردي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لم يرفض المنطق، لكنه أعاد تحديد وظيفته وحدوده داخل العملية المعرفية، مؤكّدًا أن المنطق وحده لا يكفي لإدراك حقائق الوجود العليا إلا إذا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تماهى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مع </w:t>
      </w: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تصفية النفس وتهذيبها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6276A1" w:rsidRPr="006276A1" w:rsidRDefault="006276A1" w:rsidP="006276A1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أولًا: المنهج المنطقي في الفلسفة الإسلامية</w:t>
      </w:r>
    </w:p>
    <w:p w:rsidR="006276A1" w:rsidRPr="006276A1" w:rsidRDefault="006276A1" w:rsidP="006276A1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6276A1"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. </w:t>
      </w: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المنطق بوصفه أداة للبحث</w:t>
      </w:r>
    </w:p>
    <w:p w:rsidR="006276A1" w:rsidRPr="006276A1" w:rsidRDefault="006276A1" w:rsidP="006276A1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rtl/>
          <w:lang w:bidi="ar-DZ"/>
        </w:rPr>
      </w:pP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يقول ابن سينا: </w:t>
      </w:r>
      <w:r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القياس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البرهاني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هو الذي ينتج العلم اليقيني</w:t>
      </w:r>
      <w:r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¹</w:t>
      </w:r>
      <w:r>
        <w:rPr>
          <w:rFonts w:ascii="Sakkal Majalla" w:eastAsia="Times New Roman" w:hAnsi="Sakkal Majalla" w:cs="Sakkal Majalla"/>
          <w:sz w:val="28"/>
          <w:szCs w:val="28"/>
        </w:rPr>
        <w:t>.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تبلور موقع المنطق في الفلسفة الإسلامية عبر جهود الكندي والفارابي وابن سينا، حيث اعتبر المنطق «آلة للفكر»، هدفها تنظيم عملية الاستدلال وضمان صحة الانتقال من المقدمات إلى النتائج</w:t>
      </w:r>
      <w:r>
        <w:rPr>
          <w:rFonts w:ascii="Sakkal Majalla" w:eastAsia="Times New Roman" w:hAnsi="Sakkal Majalla" w:cs="Sakkal Majalla"/>
          <w:sz w:val="28"/>
          <w:szCs w:val="28"/>
        </w:rPr>
        <w:t>.</w:t>
      </w:r>
      <w:r>
        <w:rPr>
          <w:rFonts w:ascii="Sakkal Majalla" w:eastAsia="Times New Roman" w:hAnsi="Sakkal Majalla" w:cs="Sakkal Majalla" w:hint="cs"/>
          <w:sz w:val="28"/>
          <w:szCs w:val="28"/>
          <w:rtl/>
        </w:rPr>
        <w:t xml:space="preserve"> 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وبلغ المنطق عند ابن سينا مرحلة النضج، حيث صاغ بناءً منطقيًا متكاملًا يتأسس على القياس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البرهاني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بوصفه أرقى أشكال الاستدلال، واعتبر أن </w:t>
      </w: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العقل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هو أداة الوصول إلى المعرفة اليقينية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6276A1" w:rsidRPr="006276A1" w:rsidRDefault="006276A1" w:rsidP="006276A1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6276A1"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. </w:t>
      </w: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حدود المنطق </w:t>
      </w:r>
      <w:proofErr w:type="spellStart"/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البرهاني</w:t>
      </w:r>
      <w:proofErr w:type="spellEnd"/>
    </w:p>
    <w:p w:rsidR="006276A1" w:rsidRPr="006276A1" w:rsidRDefault="006276A1" w:rsidP="006276A1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rtl/>
          <w:lang w:bidi="ar-DZ"/>
        </w:rPr>
      </w:pP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ورغم المكانة التي حازها المنطق، إلا أنّه ظلّ منطقًا </w:t>
      </w: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صوريًا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يهتم بصحة الشكل دون مضمون التجربة الوجودية للإنسان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br/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نظرًا لهذه الصورية ظهرت اتجاهات فلسفية صوفية ترى أن المنطق وحده لا يكفي لإدراك الحقائق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الماورائية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، لأن المعرفة ليست مجرد بناء صوري للعلاقات، بل هي </w:t>
      </w: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اتصال وجودي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بين العارف والمعلوم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6276A1" w:rsidRPr="006276A1" w:rsidRDefault="006276A1" w:rsidP="006276A1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lastRenderedPageBreak/>
        <w:t>ثانيًا: المنهج الذوقي: المعرفة بالإشراق والكشف</w:t>
      </w:r>
    </w:p>
    <w:p w:rsidR="006276A1" w:rsidRPr="006276A1" w:rsidRDefault="006276A1" w:rsidP="006276A1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6276A1"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. </w:t>
      </w: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مفهوم المعرفة الذوقية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:</w:t>
      </w:r>
    </w:p>
    <w:p w:rsidR="006276A1" w:rsidRPr="006276A1" w:rsidRDefault="006276A1" w:rsidP="006276A1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rtl/>
          <w:lang w:bidi="ar-DZ"/>
        </w:rPr>
      </w:pP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يقول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السهروردي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: </w:t>
      </w:r>
      <w:r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الحكمة لا تُنال إلا بالكشف والذوق</w:t>
      </w:r>
      <w:r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²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تقوم المعرفة الذوقية على أساس أن الحقيقة تتجلى للإنسان عبر </w:t>
      </w: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نور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داخلي يتحقق بالتهذيب والتطهير، وليس عبر مجرد الاستدلال اللفظي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br/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ويعد </w:t>
      </w:r>
      <w:r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الذوق</w:t>
      </w:r>
      <w:r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مصطلحًا فلسفيًا وصوفيًا يعني </w:t>
      </w: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التجربة المباشرة للحقيقة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 xml:space="preserve">. 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وهو يختلف عن الاستدلال العقلي لأنه تجربة ذاتية، ولكنها –عند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السهروردي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– خاضعة لقواعد موضوعية وليست ضربًا من الخيال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6276A1" w:rsidRPr="006276A1" w:rsidRDefault="006276A1" w:rsidP="006276A1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6276A1"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. </w:t>
      </w: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الذوق عند </w:t>
      </w:r>
      <w:proofErr w:type="spellStart"/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السهروردي</w:t>
      </w:r>
      <w:proofErr w:type="spellEnd"/>
    </w:p>
    <w:p w:rsidR="006276A1" w:rsidRPr="006276A1" w:rsidRDefault="006276A1" w:rsidP="006276A1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rtl/>
          <w:lang w:bidi="ar-DZ"/>
        </w:rPr>
      </w:pP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يرى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السهروردي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أن المعرفة الذوقية هي أعلى مراتب المعرفة، لأنها تتيح للإنسان مشاهدة عوالم النور، التي لا يمكن للعقل النظري إدراكها بالبرهان وحده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br/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فالذوق ليس بديلاً عن المنطق، بل هو </w:t>
      </w: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مرحلة عليا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تأتي بعد استكمال البرهان، بحيث يتحول العقل من مجرد التحليل إلى </w:t>
      </w: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المشاهدة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6276A1" w:rsidRPr="006276A1" w:rsidRDefault="006276A1" w:rsidP="006276A1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ثالثًا: المنطق </w:t>
      </w:r>
      <w:proofErr w:type="spellStart"/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الإشراقي</w:t>
      </w:r>
      <w:proofErr w:type="spellEnd"/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عند </w:t>
      </w:r>
      <w:proofErr w:type="spellStart"/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السهروردي</w:t>
      </w:r>
      <w:proofErr w:type="spellEnd"/>
    </w:p>
    <w:p w:rsidR="006276A1" w:rsidRPr="006276A1" w:rsidRDefault="006276A1" w:rsidP="006276A1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6276A1"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. </w:t>
      </w: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نقد المنطق الأرسطي</w:t>
      </w:r>
    </w:p>
    <w:p w:rsidR="006276A1" w:rsidRPr="006276A1" w:rsidRDefault="006276A1" w:rsidP="006276A1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rtl/>
          <w:lang w:bidi="ar-DZ"/>
        </w:rPr>
      </w:pP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انتقد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السهروردي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النزعة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الشكلانية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في المنطق الأرسطي، وخاصة الاعتماد على القياس الشكلي. وقد رأى أنّ حصر العلم اليقيني في صورة القياس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البرهاني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يُقصي أشكالًا أخرى من المعرفة الإنسانية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يقول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السهروردي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: </w:t>
      </w:r>
      <w:r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من لا ذوق له لا علم له</w:t>
      </w:r>
      <w:r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³</w:t>
      </w:r>
      <w:r>
        <w:rPr>
          <w:rFonts w:ascii="Sakkal Majalla" w:eastAsia="Times New Roman" w:hAnsi="Sakkal Majalla" w:cs="Sakkal Majalla"/>
          <w:sz w:val="28"/>
          <w:szCs w:val="28"/>
        </w:rPr>
        <w:t>.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وبحسبه، فإنّ </w:t>
      </w: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البداهة الأولية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والحدس الروحي قد ينتجان معرفة أقوى من القياس، لأنهما نابعان من حضور الذات أمام الحقيقة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6276A1" w:rsidRPr="006276A1" w:rsidRDefault="006276A1" w:rsidP="006276A1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6276A1"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2. </w:t>
      </w: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مفهوم النور كأساس للمعرفة</w:t>
      </w:r>
    </w:p>
    <w:p w:rsidR="006276A1" w:rsidRPr="006276A1" w:rsidRDefault="006276A1" w:rsidP="006276A1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تأسست فلسفة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السهروردي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على نظرية </w:t>
      </w:r>
      <w:r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النور»، التي تجعل الوجود درجات من الإشراق، والمعرفة درجات من الانكشاف. فالمعلوم يُدرك بحضوره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النوري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لدى العارف، وليس بمجرد تمثيل ذهني</w:t>
      </w:r>
      <w:r>
        <w:rPr>
          <w:rFonts w:ascii="Sakkal Majalla" w:eastAsia="Times New Roman" w:hAnsi="Sakkal Majalla" w:cs="Sakkal Majalla"/>
          <w:sz w:val="28"/>
          <w:szCs w:val="28"/>
        </w:rPr>
        <w:t>.</w:t>
      </w:r>
      <w:r>
        <w:rPr>
          <w:rFonts w:ascii="Sakkal Majalla" w:eastAsia="Times New Roman" w:hAnsi="Sakkal Majalla" w:cs="Sakkal Majalla" w:hint="cs"/>
          <w:sz w:val="28"/>
          <w:szCs w:val="28"/>
          <w:rtl/>
        </w:rPr>
        <w:t xml:space="preserve"> 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لذلك تتجاوز المعرفة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الإشراقية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</w:t>
      </w: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نظرية المطابقة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في المعرفة، وتذهب نحو </w:t>
      </w: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نظرية الحضور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، حيث يكون المعلوم حاضرًا بذاته أمام العارف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6276A1" w:rsidRPr="006276A1" w:rsidRDefault="006276A1" w:rsidP="006276A1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6276A1"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3. </w:t>
      </w: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تركيبة المنهج </w:t>
      </w:r>
      <w:proofErr w:type="spellStart"/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الإشراقي</w:t>
      </w:r>
      <w:proofErr w:type="spellEnd"/>
    </w:p>
    <w:p w:rsidR="006276A1" w:rsidRPr="006276A1" w:rsidRDefault="006276A1" w:rsidP="006276A1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يتكون المنهج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الإشراقي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عند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السهروردي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من مرحلتين متكاملتين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:</w:t>
      </w:r>
    </w:p>
    <w:p w:rsidR="006276A1" w:rsidRPr="006276A1" w:rsidRDefault="006276A1" w:rsidP="006276A1">
      <w:pPr>
        <w:bidi/>
        <w:spacing w:before="100" w:beforeAutospacing="1" w:after="100" w:afterAutospacing="1" w:line="240" w:lineRule="auto"/>
        <w:outlineLvl w:val="3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أ. المرحلة </w:t>
      </w:r>
      <w:proofErr w:type="spellStart"/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البرهانية</w:t>
      </w:r>
      <w:proofErr w:type="spellEnd"/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(المنطقية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)</w:t>
      </w:r>
    </w:p>
    <w:p w:rsidR="006276A1" w:rsidRPr="006276A1" w:rsidRDefault="006276A1" w:rsidP="006276A1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وفيها يتم تدريب العقل عبر استخدام أدوات المنطق لإزالة الوهم وتحقيق الاتساق الفكري. هذه المرحلة ضرورية لأنها تمنع الانحرافات الذاتية في التجربة الروحية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6276A1" w:rsidRPr="006276A1" w:rsidRDefault="006276A1" w:rsidP="006276A1">
      <w:pPr>
        <w:bidi/>
        <w:spacing w:before="100" w:beforeAutospacing="1" w:after="100" w:afterAutospacing="1" w:line="240" w:lineRule="auto"/>
        <w:outlineLvl w:val="3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lastRenderedPageBreak/>
        <w:t>ب. المرحلة الذوقية (</w:t>
      </w:r>
      <w:proofErr w:type="spellStart"/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الإشراقية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)</w:t>
      </w:r>
    </w:p>
    <w:p w:rsidR="006276A1" w:rsidRPr="006276A1" w:rsidRDefault="006276A1" w:rsidP="006276A1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rtl/>
          <w:lang w:bidi="ar-DZ"/>
        </w:rPr>
      </w:pP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وفيها يحصل الكشف الروحي، حيث يدرك الإنسان بوساطة «نور العقل الفعال» حقائق لا يصل إليها بالاستدلال الصوري، بل بالتطهير والانعتاق من قيود المادة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6276A1" w:rsidRPr="006276A1" w:rsidRDefault="006276A1" w:rsidP="006276A1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رابعًا: العلاقة بين المنهج المنطقي والمنهج الذوقي</w:t>
      </w:r>
    </w:p>
    <w:p w:rsidR="006276A1" w:rsidRPr="006276A1" w:rsidRDefault="006276A1" w:rsidP="006276A1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6276A1"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1. </w:t>
      </w: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التكامل لا التعارض</w:t>
      </w:r>
    </w:p>
    <w:p w:rsidR="006276A1" w:rsidRPr="006276A1" w:rsidRDefault="006276A1" w:rsidP="006276A1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لم يرفض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السهروردي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المنهج المنطقي، بل أراد تجاوز حدوده عبر إدماجه في مسار معرفي أكبر. فالمنطق يؤدي وظيفة </w:t>
      </w: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تهيئة العقل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، في حين يحقق الذوق وظيفة </w:t>
      </w: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تجربة الحقيقة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br/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وبذلك تصبح المعرفة الحقيقية نتاجًا لتفاعل عقلاني–ذوقي، يعتمد على البرهان من جهة، وعلى كشف النور من جهة أخرى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6276A1" w:rsidRPr="006276A1" w:rsidRDefault="006276A1" w:rsidP="006276A1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 w:rsidRPr="006276A1"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2. </w:t>
      </w: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المعرفة الحاضرة والمعرفة الحاصلة</w:t>
      </w:r>
    </w:p>
    <w:p w:rsidR="006276A1" w:rsidRPr="006276A1" w:rsidRDefault="006276A1" w:rsidP="006276A1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يميز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السهروردي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بين نوعين من المعرفة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:</w:t>
      </w:r>
    </w:p>
    <w:p w:rsidR="006276A1" w:rsidRPr="006276A1" w:rsidRDefault="006276A1" w:rsidP="006276A1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معرفة حاصلة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 xml:space="preserve">: 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تتم عبر التصورات الذهنية والحدس العقلي، وهي معرفة المنطق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6276A1" w:rsidRPr="006276A1" w:rsidRDefault="006276A1" w:rsidP="006276A1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معرفة </w:t>
      </w:r>
      <w:proofErr w:type="spellStart"/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حضورية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</w:rPr>
        <w:t xml:space="preserve">: 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تتحقق بحضور المعلوم مباشرة في النفس، وهي معرفة الذوق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2436F7" w:rsidRDefault="006276A1" w:rsidP="002436F7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rtl/>
          <w:lang w:bidi="ar-DZ"/>
        </w:rPr>
      </w:pP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الأولى معرفة </w:t>
      </w:r>
      <w:r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بالواسطة</w:t>
      </w:r>
      <w:r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عبر المفاهيم، والثانية معرفة </w:t>
      </w:r>
      <w:r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بغير واسطة</w:t>
      </w:r>
      <w:r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عبر المشاهدة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  <w:r w:rsidR="002436F7" w:rsidRPr="002436F7">
        <w:rPr>
          <w:rFonts w:ascii="Sakkal Majalla" w:eastAsia="Times New Roman" w:hAnsi="Sakkal Majalla" w:cs="Sakkal Majalla"/>
          <w:sz w:val="28"/>
          <w:szCs w:val="28"/>
          <w:rtl/>
        </w:rPr>
        <w:t xml:space="preserve"> </w:t>
      </w:r>
      <w:r w:rsidR="002436F7"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يشرح هنري </w:t>
      </w:r>
      <w:proofErr w:type="spellStart"/>
      <w:r w:rsidR="002436F7" w:rsidRPr="006276A1">
        <w:rPr>
          <w:rFonts w:ascii="Sakkal Majalla" w:eastAsia="Times New Roman" w:hAnsi="Sakkal Majalla" w:cs="Sakkal Majalla"/>
          <w:sz w:val="28"/>
          <w:szCs w:val="28"/>
          <w:rtl/>
        </w:rPr>
        <w:t>كوربان</w:t>
      </w:r>
      <w:proofErr w:type="spellEnd"/>
      <w:r w:rsidR="002436F7"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هذا الفرق بقوله: </w:t>
      </w:r>
      <w:r w:rsidR="002436F7"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="002436F7"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الفلسفة </w:t>
      </w:r>
      <w:proofErr w:type="spellStart"/>
      <w:r w:rsidR="002436F7" w:rsidRPr="006276A1">
        <w:rPr>
          <w:rFonts w:ascii="Sakkal Majalla" w:eastAsia="Times New Roman" w:hAnsi="Sakkal Majalla" w:cs="Sakkal Majalla"/>
          <w:sz w:val="28"/>
          <w:szCs w:val="28"/>
          <w:rtl/>
        </w:rPr>
        <w:t>الإشراقية</w:t>
      </w:r>
      <w:proofErr w:type="spellEnd"/>
      <w:r w:rsidR="002436F7"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انتقال من علم يحصل إلى علم يحضر</w:t>
      </w:r>
      <w:r w:rsidR="002436F7"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="002436F7" w:rsidRPr="006276A1">
        <w:rPr>
          <w:rFonts w:ascii="Sakkal Majalla" w:eastAsia="Times New Roman" w:hAnsi="Sakkal Majalla" w:cs="Sakkal Majalla"/>
          <w:sz w:val="28"/>
          <w:szCs w:val="28"/>
          <w:rtl/>
        </w:rPr>
        <w:t>⁴</w:t>
      </w:r>
      <w:r w:rsidR="002436F7" w:rsidRPr="006276A1">
        <w:rPr>
          <w:rFonts w:ascii="Sakkal Majalla" w:eastAsia="Times New Roman" w:hAnsi="Sakkal Majalla" w:cs="Sakkal Majalla"/>
          <w:sz w:val="28"/>
          <w:szCs w:val="28"/>
        </w:rPr>
        <w:t>.</w:t>
      </w:r>
      <w:r w:rsidR="002436F7" w:rsidRPr="006276A1">
        <w:rPr>
          <w:rFonts w:ascii="Sakkal Majalla" w:eastAsia="Times New Roman" w:hAnsi="Sakkal Majalla" w:cs="Sakkal Majalla"/>
          <w:sz w:val="28"/>
          <w:szCs w:val="28"/>
        </w:rPr>
        <w:br/>
      </w:r>
    </w:p>
    <w:p w:rsidR="006276A1" w:rsidRPr="006276A1" w:rsidRDefault="006276A1" w:rsidP="002436F7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خامسًا: أثر المنطق </w:t>
      </w:r>
      <w:proofErr w:type="spellStart"/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الإشراقي</w:t>
      </w:r>
      <w:proofErr w:type="spellEnd"/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في التراث الإسلامي</w:t>
      </w:r>
    </w:p>
    <w:p w:rsidR="006276A1" w:rsidRPr="006276A1" w:rsidRDefault="006276A1" w:rsidP="006276A1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rtl/>
          <w:lang w:bidi="ar-DZ"/>
        </w:rPr>
      </w:pP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ترك مشروع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السهروردي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تأثيرًا واسعًا في الفلاسفة المتأخرين مثل صدر الدين الشيرازي، الذي طور مفهوم المعرفة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الحضورية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في إطار </w:t>
      </w:r>
      <w:r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الحكمة المتعالية</w:t>
      </w:r>
      <w:r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، كما أسهم في إعادة الاعتبار للبعد الروحي داخل الفلسفة الإسلامية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br/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كما شكَّل المنطق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الإشراقي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حلقة وصل بين الفلسفة والعرفان النظري، وجعل التجربة الروحية جزءًا من البحث الفلسفي، لا مجرد ممارسة فردية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6276A1" w:rsidRPr="006276A1" w:rsidRDefault="006276A1" w:rsidP="006276A1">
      <w:pPr>
        <w:bidi/>
        <w:spacing w:before="100" w:beforeAutospacing="1" w:after="100" w:afterAutospacing="1" w:line="240" w:lineRule="auto"/>
        <w:outlineLvl w:val="0"/>
        <w:rPr>
          <w:rFonts w:ascii="Sakkal Majalla" w:eastAsia="Times New Roman" w:hAnsi="Sakkal Majalla" w:cs="Sakkal Majalla"/>
          <w:b/>
          <w:bCs/>
          <w:kern w:val="36"/>
          <w:sz w:val="28"/>
          <w:szCs w:val="28"/>
        </w:rPr>
      </w:pPr>
      <w:r w:rsidRPr="006276A1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rtl/>
        </w:rPr>
        <w:t>خاتمة</w:t>
      </w:r>
    </w:p>
    <w:p w:rsidR="006276A1" w:rsidRPr="006276A1" w:rsidRDefault="006276A1" w:rsidP="002436F7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rtl/>
          <w:lang w:bidi="ar-DZ"/>
        </w:rPr>
      </w:pP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يمكن القول إنّ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السهروردي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قدّم نموذجًا معرفيًا فريدًا يجمع بين </w:t>
      </w: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المنهج المنطقي </w:t>
      </w:r>
      <w:proofErr w:type="spellStart"/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البرهاني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و</w:t>
      </w: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المنهج الذوقي </w:t>
      </w:r>
      <w:proofErr w:type="spellStart"/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الإشراقي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، محاولًا تجاوز قصور المنطق الصوري من دون التخلي عنه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br/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فالمعرفة الحقيقة عنده ليست مجرد بناء منطقي، بل هي </w:t>
      </w: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حضور نور الحقيقة في النفس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بعد أن تطهر ذاتها وترتقي في مراتب الوجود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br/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lastRenderedPageBreak/>
        <w:t xml:space="preserve">وبذلك وضع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السهروردي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الأساس لما يمكن تسميته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بـ</w:t>
      </w:r>
      <w:proofErr w:type="spellEnd"/>
      <w:r w:rsidR="002436F7"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منهج المعرفة الحاضرة</w:t>
      </w:r>
      <w:r w:rsidR="002436F7"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، وهو منهج يعطي للروح مقامًا مركزيًا في عملية الإدراك، دون أن يسقط في نزعة معادية للعقل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6276A1" w:rsidRPr="006276A1" w:rsidRDefault="002436F7" w:rsidP="006276A1">
      <w:pPr>
        <w:bidi/>
        <w:spacing w:before="100" w:beforeAutospacing="1" w:after="100" w:afterAutospacing="1" w:line="240" w:lineRule="auto"/>
        <w:outlineLvl w:val="1"/>
        <w:rPr>
          <w:rFonts w:ascii="Sakkal Majalla" w:eastAsia="Times New Roman" w:hAnsi="Sakkal Majalla" w:cs="Sakkal Majalla"/>
          <w:b/>
          <w:bCs/>
          <w:sz w:val="28"/>
          <w:szCs w:val="28"/>
        </w:rPr>
      </w:pP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المراجع والمصادر:</w:t>
      </w:r>
    </w:p>
    <w:p w:rsidR="006276A1" w:rsidRPr="006276A1" w:rsidRDefault="006276A1" w:rsidP="006276A1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ابن سينا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، الشفاء: المنطق، تحقيق إبراهيم مدكور، القاهرة: الهيئة المصرية العامة للكتاب، 1970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  <w:r>
        <w:rPr>
          <w:rFonts w:ascii="Sakkal Majalla" w:eastAsia="Times New Roman" w:hAnsi="Sakkal Majalla" w:cs="Sakkal Majalla"/>
          <w:sz w:val="28"/>
          <w:szCs w:val="28"/>
          <w:rtl/>
        </w:rPr>
        <w:t>ج1،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ص 45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6276A1" w:rsidRPr="006276A1" w:rsidRDefault="006276A1" w:rsidP="002436F7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شهاب الدين </w:t>
      </w:r>
      <w:proofErr w:type="spellStart"/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السهروردي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،حكمة الإشراق</w:t>
      </w:r>
      <w:r w:rsidR="002436F7">
        <w:rPr>
          <w:rFonts w:ascii="Sakkal Majalla" w:eastAsia="Times New Roman" w:hAnsi="Sakkal Majalla" w:cs="Sakkal Majalla"/>
          <w:sz w:val="28"/>
          <w:szCs w:val="28"/>
          <w:rtl/>
        </w:rPr>
        <w:t xml:space="preserve">،تحقيق هنري </w:t>
      </w:r>
      <w:proofErr w:type="spellStart"/>
      <w:r w:rsidR="002436F7">
        <w:rPr>
          <w:rFonts w:ascii="Sakkal Majalla" w:eastAsia="Times New Roman" w:hAnsi="Sakkal Majalla" w:cs="Sakkal Majalla"/>
          <w:sz w:val="28"/>
          <w:szCs w:val="28"/>
          <w:rtl/>
        </w:rPr>
        <w:t>كوربان</w:t>
      </w:r>
      <w:proofErr w:type="spellEnd"/>
      <w:r w:rsidR="002436F7">
        <w:rPr>
          <w:rFonts w:ascii="Sakkal Majalla" w:eastAsia="Times New Roman" w:hAnsi="Sakkal Majalla" w:cs="Sakkal Majalla"/>
          <w:sz w:val="28"/>
          <w:szCs w:val="28"/>
          <w:rtl/>
        </w:rPr>
        <w:t>،طهران:معهد الدراسات الإسلامية، 195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ص 8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6276A1" w:rsidRPr="006276A1" w:rsidRDefault="006276A1" w:rsidP="002436F7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شهاب الدين </w:t>
      </w:r>
      <w:proofErr w:type="spellStart"/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السهروردي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،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التلويحات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اللوحية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والعرشية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، تحقيق هنري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كوربان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، طهران: معهد الدراسات الإسلامية، 1951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ص 52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DA0877" w:rsidRPr="007E0396" w:rsidRDefault="006276A1" w:rsidP="007E0396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</w:rPr>
      </w:pPr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هنري </w:t>
      </w:r>
      <w:proofErr w:type="spellStart"/>
      <w:r w:rsidRPr="006276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كوربان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، تاريخ الفلسفة الإسلامية، ترجمة عادل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العوا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 xml:space="preserve">، دمشق: دار </w:t>
      </w:r>
      <w:proofErr w:type="spellStart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طلاس</w:t>
      </w:r>
      <w:proofErr w:type="spellEnd"/>
      <w:r w:rsidRPr="006276A1">
        <w:rPr>
          <w:rFonts w:ascii="Sakkal Majalla" w:eastAsia="Times New Roman" w:hAnsi="Sakkal Majalla" w:cs="Sakkal Majalla"/>
          <w:sz w:val="28"/>
          <w:szCs w:val="28"/>
          <w:rtl/>
        </w:rPr>
        <w:t>، 1989</w:t>
      </w:r>
      <w:r w:rsidRPr="006276A1">
        <w:rPr>
          <w:rFonts w:ascii="Sakkal Majalla" w:eastAsia="Times New Roman" w:hAnsi="Sakkal Majalla" w:cs="Sakkal Majalla"/>
          <w:sz w:val="28"/>
          <w:szCs w:val="28"/>
        </w:rPr>
        <w:t>.</w:t>
      </w:r>
      <w:r w:rsidRPr="007E0396">
        <w:rPr>
          <w:rFonts w:ascii="Sakkal Majalla" w:eastAsia="Times New Roman" w:hAnsi="Sakkal Majalla" w:cs="Sakkal Majalla"/>
          <w:sz w:val="28"/>
          <w:szCs w:val="28"/>
          <w:rtl/>
        </w:rPr>
        <w:t>ص 310</w:t>
      </w:r>
      <w:r w:rsidRPr="007E0396">
        <w:rPr>
          <w:rFonts w:ascii="Sakkal Majalla" w:eastAsia="Times New Roman" w:hAnsi="Sakkal Majalla" w:cs="Sakkal Majalla"/>
          <w:sz w:val="28"/>
          <w:szCs w:val="28"/>
        </w:rPr>
        <w:t>.</w:t>
      </w:r>
    </w:p>
    <w:sectPr w:rsidR="00DA0877" w:rsidRPr="007E0396" w:rsidSect="00574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F2692"/>
    <w:multiLevelType w:val="multilevel"/>
    <w:tmpl w:val="C5BA0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576DAB"/>
    <w:multiLevelType w:val="multilevel"/>
    <w:tmpl w:val="24C2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B61F10"/>
    <w:multiLevelType w:val="multilevel"/>
    <w:tmpl w:val="D90652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276A1"/>
    <w:rsid w:val="002436F7"/>
    <w:rsid w:val="003E3214"/>
    <w:rsid w:val="00574D7D"/>
    <w:rsid w:val="006276A1"/>
    <w:rsid w:val="007E0396"/>
    <w:rsid w:val="00DA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D7D"/>
  </w:style>
  <w:style w:type="paragraph" w:styleId="Titre1">
    <w:name w:val="heading 1"/>
    <w:basedOn w:val="Normal"/>
    <w:link w:val="Titre1Car"/>
    <w:uiPriority w:val="9"/>
    <w:qFormat/>
    <w:rsid w:val="006276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6276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6276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6276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76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6276A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6276A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6276A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lev">
    <w:name w:val="Strong"/>
    <w:basedOn w:val="Policepardfaut"/>
    <w:uiPriority w:val="22"/>
    <w:qFormat/>
    <w:rsid w:val="006276A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6276A1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2436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72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9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5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imesfoua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873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2025-12-04T06:08:00Z</dcterms:created>
  <dcterms:modified xsi:type="dcterms:W3CDTF">2025-12-04T07:13:00Z</dcterms:modified>
</cp:coreProperties>
</file>