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70" w:rsidRDefault="00774B2B" w:rsidP="00774B2B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 xml:space="preserve">العمارة في مصر القديمة  </w:t>
      </w:r>
    </w:p>
    <w:p w:rsidR="00774B2B" w:rsidRPr="004F6A83" w:rsidRDefault="00774B2B" w:rsidP="00774B2B">
      <w:pPr>
        <w:pStyle w:val="Listepuces"/>
        <w:numPr>
          <w:ilvl w:val="0"/>
          <w:numId w:val="0"/>
        </w:numPr>
        <w:tabs>
          <w:tab w:val="clear" w:pos="501"/>
        </w:tabs>
        <w:bidi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IQ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IQ"/>
        </w:rPr>
        <w:t>-</w:t>
      </w:r>
      <w:r w:rsidRPr="004F6A83">
        <w:rPr>
          <w:rFonts w:ascii="Traditional Arabic" w:hAnsi="Traditional Arabic" w:cs="Traditional Arabic"/>
          <w:b/>
          <w:bCs/>
          <w:sz w:val="38"/>
          <w:szCs w:val="38"/>
          <w:rtl/>
          <w:lang w:bidi="ar-IQ"/>
        </w:rPr>
        <w:t>الفن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IQ"/>
        </w:rPr>
        <w:t xml:space="preserve">ون </w:t>
      </w:r>
      <w:r w:rsidRPr="004F6A83">
        <w:rPr>
          <w:rFonts w:ascii="Traditional Arabic" w:hAnsi="Traditional Arabic" w:cs="Traditional Arabic"/>
          <w:b/>
          <w:bCs/>
          <w:sz w:val="38"/>
          <w:szCs w:val="38"/>
          <w:rtl/>
          <w:lang w:bidi="ar-IQ"/>
        </w:rPr>
        <w:t>المصري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IQ"/>
        </w:rPr>
        <w:t>ة القديمة</w:t>
      </w:r>
      <w:r w:rsidRPr="004F6A83">
        <w:rPr>
          <w:rFonts w:ascii="Traditional Arabic" w:hAnsi="Traditional Arabic" w:cs="Traditional Arabic"/>
          <w:b/>
          <w:bCs/>
          <w:sz w:val="38"/>
          <w:szCs w:val="38"/>
          <w:rtl/>
          <w:lang w:bidi="ar-IQ"/>
        </w:rPr>
        <w:t xml:space="preserve">: </w:t>
      </w:r>
    </w:p>
    <w:p w:rsidR="00774B2B" w:rsidRPr="004F6A83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ارتبط تاريخ الشعوب على مر العصور بجغرافية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المدن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حيت 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رت الحضارات جميعها بالطبيعة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ألجغرافية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إذ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ن لطبيعة الارض ومصادر المياه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 البالغ في تطور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لحضارات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من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قدم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لعصور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حيت اترت البيئة على حضارة مصر القديمة وحياة المصريين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نفسهم.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تحتل مصر موقعا استراتيجيا ،اد تقع عند ملتقى تلات قارات: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اسيا وإفريقيا وأور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با وتتكون من واد ضيق محصور بين سلسلتين جبليتين هما سلسلة جبال الغرب بالجهة الشرقية وسلسلة جبال ليبيا بالجهة الغربية يحدها من الشمال البحر الابيض المتوسط ومن الشرق فلسطين وخليج العقبة و البحر الاحمر ومن الغرب ليبيا ومن الجنوب السودان وتبلغ مساحتها حوالي مليون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كيلومت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ر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مربع معظمها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صحاري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اطلقت عليها اسماء مختلفة  اقدمها اسم كمي اي السواد تم اسم كمت اي الارض السوداء و الخمرية كما سميت مصر ثاوي اي الارضين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شارة الى  تسمعو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رض الصعيد بالجنوب و تمحو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رض الدلتا بالشمال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1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774B2B" w:rsidRPr="004F6A83" w:rsidRDefault="00774B2B" w:rsidP="00774B2B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1-1-</w:t>
      </w:r>
      <w:r w:rsidRPr="004836A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الفن 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الفرعوني:</w:t>
      </w:r>
    </w:p>
    <w:p w:rsidR="00774B2B" w:rsidRPr="004F6A83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للفن في العصور القديمة علاقة وطيدة بالديانة اذ كان في مجمله فنا دينيا فبالنسبة لمصر ارتبط الفن بالمعابد والمقابر وبأجمل التحف التي تم وضعها في المقابر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ك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لأثا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والحلى والتماثيل والرسومات الجدارية،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اد حملت معظم هده الانجازات رموزا دينية.</w:t>
      </w:r>
    </w:p>
    <w:p w:rsidR="00774B2B" w:rsidRPr="004F6A83" w:rsidRDefault="00774B2B" w:rsidP="00774B2B">
      <w:pPr>
        <w:pStyle w:val="Titre1"/>
        <w:bidi/>
        <w:spacing w:before="0" w:after="200"/>
        <w:ind w:left="-2"/>
        <w:jc w:val="both"/>
        <w:rPr>
          <w:rFonts w:ascii="Traditional Arabic" w:hAnsi="Traditional Arabic" w:cs="Traditional Arabic"/>
          <w:color w:val="auto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lastRenderedPageBreak/>
        <w:t>-</w:t>
      </w:r>
      <w:r w:rsidRPr="004F6A83">
        <w:rPr>
          <w:rFonts w:ascii="Traditional Arabic" w:hAnsi="Traditional Arabic" w:cs="Traditional Arabic"/>
          <w:color w:val="auto"/>
          <w:sz w:val="38"/>
          <w:szCs w:val="38"/>
          <w:rtl/>
          <w:lang w:bidi="ar-DZ"/>
        </w:rPr>
        <w:t>المعبودات والمعتقدات عند المصريين: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لقد اوجد المصري لنفسه معبودات تمثلت في الظواهر الطبيعية في مقدمتها النيل والشمس اد اترت بعمق في سكان وادي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النيل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2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proofErr w:type="gramEnd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امن الانسان المصري بالبعث والحياة 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بعد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لموت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اد شيد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القبور الضخمة كالأهرامات،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التي ظلت خالدة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مع مرور الزمن،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وبنى المعابد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ات الاعمدة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هائلة،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فحفظ الج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ثث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بغية تخليدها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ضع الى جانبها في القبور تماثيل مصنوعة من مواد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صلبة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لتحل محل المومياء عندما تختفي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3"/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774B2B" w:rsidRPr="004F6A83" w:rsidRDefault="00774B2B" w:rsidP="00774B2B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-</w:t>
      </w:r>
      <w:r w:rsidRPr="004836A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العمارة الفرعونية: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تنقسم الهندسة المعمارية في مصر الى قسمين العمارة الدينية والعمارة المدنية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ولما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ارتبطت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طبيعة حضارة مصر جلها بالموت والبعث والخلود،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احتلت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العمارة الدينية الحيز الاكبر من اهتمام المهندسين المصريين.</w:t>
      </w:r>
    </w:p>
    <w:p w:rsidR="00774B2B" w:rsidRPr="004836AA" w:rsidRDefault="00774B2B" w:rsidP="00774B2B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4836AA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العمارة الدينية: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شيدت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العمارة الدينية المصرية بمادة الطوب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والأجر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والخشب،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كما اتسمت بالضخامة والعظمة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والمثانة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من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اشهر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المهندسين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منحوت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الذي انجز هرم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زوسر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في سقارة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(الصورة21)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ومعبد الشمس.</w:t>
      </w:r>
    </w:p>
    <w:p w:rsidR="00774B2B" w:rsidRDefault="00774B2B" w:rsidP="00774B2B">
      <w:pPr>
        <w:pStyle w:val="Retraitcorpset1relig"/>
        <w:bidi/>
        <w:ind w:left="-2" w:firstLine="71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lastRenderedPageBreak/>
        <w:drawing>
          <wp:inline distT="0" distB="0" distL="0" distR="0" wp14:anchorId="13DC24D9" wp14:editId="7F7E4975">
            <wp:extent cx="2971800" cy="1533525"/>
            <wp:effectExtent l="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2B" w:rsidRDefault="00774B2B" w:rsidP="00774B2B">
      <w:pPr>
        <w:pStyle w:val="Retraitcorpset1relig"/>
        <w:bidi/>
        <w:ind w:left="0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تمثل الصورة هرم </w:t>
      </w:r>
      <w:proofErr w:type="spellStart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زوسر</w:t>
      </w:r>
      <w:proofErr w:type="spellEnd"/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في سقارة</w:t>
      </w:r>
    </w:p>
    <w:p w:rsidR="00774B2B" w:rsidRPr="004F6A83" w:rsidRDefault="00774B2B" w:rsidP="00774B2B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* </w:t>
      </w:r>
      <w:r w:rsidRPr="007E2BAF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المقابر:</w:t>
      </w:r>
    </w:p>
    <w:p w:rsidR="00774B2B" w:rsidRPr="004F6A83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شيدت اول المقابر على الضفة الغربية للنيل حيت اعتقد المصري القديم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نها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رض الموتى حيت تقع بالغرب من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النيل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رغم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هدا  قد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تم الكشف عن بعض المقابر التي تؤرخ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عصر ما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قبل الاسرات والدولة الوسطى والعصر المت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خر بتجمعات الملوك السكنية وبعض المعابد الالاهية ويمكن تقسيم مراحل تطور المقبرة الى:</w:t>
      </w:r>
    </w:p>
    <w:p w:rsidR="00774B2B" w:rsidRPr="004F6A83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1-مقابر شيد بنائها العلوي من كومة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من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الحصى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والرمل .</w:t>
      </w:r>
      <w:proofErr w:type="gramEnd"/>
    </w:p>
    <w:p w:rsidR="00774B2B" w:rsidRPr="004F6A83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2-مقابر شيد بنائها العلوي من هيئة مصطبة واحدة تم اكتر من مصطبة ويعلو بعضها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البعض  وتقل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مقاساتها كلما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زاد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ارتف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ها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774B2B" w:rsidRPr="004F6A83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3-مقابر شيد بنائها العلوي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على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هيئة هرم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اختلفت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مواد بنائه وحجمه وتخطيطه من الداخل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عبر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العصور المختلفة.</w:t>
      </w:r>
    </w:p>
    <w:p w:rsidR="00774B2B" w:rsidRPr="004F6A83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4-مقابر بدون بناء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علوي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نحت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جميع عناصرها بالطبقة الصخرية.</w:t>
      </w:r>
    </w:p>
    <w:p w:rsidR="00774B2B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5-المقبرة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المعبدية</w:t>
      </w:r>
      <w:proofErr w:type="spellEnd"/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4"/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774B2B" w:rsidRPr="004F6A83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lastRenderedPageBreak/>
        <w:t>*</w:t>
      </w:r>
      <w:r w:rsidRPr="007E2BAF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الأهرامات: 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يعود الفضل في تحول شكل المصطبة الى هرم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ملك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زوسر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الأول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إ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ذ اعتبر الهرم كتطور للمصطبة في فن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ألعمارة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وهو بمثابة مصعد يسمح بالالتحاق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بالا لا</w:t>
      </w:r>
      <w:r w:rsidRPr="004F6A83">
        <w:rPr>
          <w:rFonts w:ascii="Traditional Arabic" w:hAnsi="Traditional Arabic" w:cs="Traditional Arabic" w:hint="eastAsia"/>
          <w:sz w:val="38"/>
          <w:szCs w:val="38"/>
          <w:rtl/>
          <w:lang w:bidi="ar-DZ"/>
        </w:rPr>
        <w:t>ه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رع شرع في البناء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الاهرامات حوالي الالف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التالتة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واستمروا في ذلك حتى سنة الفين وخمس مئة قبل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ألميلاد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سميت هده الفترة بعصر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الأهرامات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من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اشهرها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هرم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سنفرو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المدرج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سقارة وأهرامات خوفو وخفرع ومنقرع بالجبزة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5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774B2B" w:rsidRDefault="00774B2B" w:rsidP="00774B2B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7E2BAF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الهرم الأكبر بالجيزة </w:t>
      </w:r>
      <w:r w:rsidRPr="007E2BAF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رقم22)</w:t>
      </w:r>
      <w:r w:rsidRPr="007E2BAF">
        <w:rPr>
          <w:rFonts w:ascii="Traditional Arabic" w:hAnsi="Traditional Arabic" w:cs="Traditional Arabic"/>
          <w:sz w:val="38"/>
          <w:szCs w:val="38"/>
          <w:rtl/>
          <w:lang w:bidi="ar-DZ"/>
        </w:rPr>
        <w:t>:</w:t>
      </w:r>
    </w:p>
    <w:p w:rsidR="00774B2B" w:rsidRPr="007E2BAF" w:rsidRDefault="00774B2B" w:rsidP="00774B2B">
      <w:pPr>
        <w:pStyle w:val="Retraitcorpset1relig"/>
        <w:bidi/>
        <w:ind w:left="0" w:firstLine="0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drawing>
          <wp:inline distT="0" distB="0" distL="0" distR="0" wp14:anchorId="2AD50949" wp14:editId="49D2120E">
            <wp:extent cx="2857500" cy="160020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2B" w:rsidRPr="0048590D" w:rsidRDefault="00774B2B" w:rsidP="00774B2B">
      <w:pPr>
        <w:pStyle w:val="Retraitcorpset1relig"/>
        <w:bidi/>
        <w:ind w:left="0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proofErr w:type="gramStart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تمتل</w:t>
      </w:r>
      <w:proofErr w:type="gramEnd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الصورة الهرم الاكبر بالجيزة</w:t>
      </w:r>
    </w:p>
    <w:p w:rsidR="00774B2B" w:rsidRPr="004F6A83" w:rsidRDefault="00774B2B" w:rsidP="00774B2B">
      <w:pPr>
        <w:pStyle w:val="Retraitcorpset1relig"/>
        <w:bidi/>
        <w:ind w:left="0" w:firstLine="708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يقع هرم خوفو في هضبة الجيزة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،شرع في بنائه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اتناء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حكم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الاسرة الرابعة من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طرف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المهندس المعماري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هيميونو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بناءا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على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وامر الفرعون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كيوبس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وبارتفاع يصل الى 138.5م  ويعتبر الاكبر بين اهرامات  </w:t>
      </w:r>
      <w:proofErr w:type="spellStart"/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ألجيزة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، بني الهرم بما يصل الى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مليوني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كتلة  من الجرانيت  و الحجر الجيري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6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،استغرق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تشييده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ما يقرب  عشرين سنة 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اما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بناء الممرات  و الاجزاء السفلية من الهرم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استغرق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عشرة اعوام ،تبلغ مقاسات الهرم حوالي 138مترا بارتفاع227مترا،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يحتوي على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تلاتة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غرف رئيسية غرفة الملك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بنيت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من مادة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الغرانيت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اسطح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ها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ناعمة مع وجود تابوت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خالي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من ال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زخرفة،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غرفة الملكة تحتوي على صورة للفرعون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دات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سقف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جملوني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جدران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ملساء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 بدون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زخرفة،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يحتوي</w:t>
      </w:r>
      <w:proofErr w:type="spellEnd"/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الهرم على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غرفة تحت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lastRenderedPageBreak/>
        <w:t>الارض ارض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يت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ها غير مستوية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الجدران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ملساء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كما يحتوي على غرفتين وبئر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ممرين تصاعديين واخر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تنازلي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به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قبو بطول 47مترا وارتفاع8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مت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ر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7"/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.</w:t>
      </w:r>
    </w:p>
    <w:p w:rsidR="00774B2B" w:rsidRPr="007E2BAF" w:rsidRDefault="00774B2B" w:rsidP="00774B2B">
      <w:pPr>
        <w:pStyle w:val="Listepuces2"/>
        <w:numPr>
          <w:ilvl w:val="0"/>
          <w:numId w:val="0"/>
        </w:numPr>
        <w:bidi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*</w:t>
      </w:r>
      <w:r w:rsidRPr="007E2BAF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المعابد:</w:t>
      </w:r>
    </w:p>
    <w:p w:rsidR="00774B2B" w:rsidRPr="004F6A83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وظيفة المعبد وخصوصياته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والإيمان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القوى الغيبية والتي كرست الابنية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لإجلالها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،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ادت الى تن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و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ع طرز المعابد و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اشهر</w:t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هده الطرز:</w:t>
      </w:r>
    </w:p>
    <w:p w:rsidR="00774B2B" w:rsidRPr="004F6A83" w:rsidRDefault="00774B2B" w:rsidP="00774B2B">
      <w:pPr>
        <w:pStyle w:val="Retraitcorpset1relig"/>
        <w:bidi/>
        <w:ind w:left="-2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7E2BAF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المعابد الملحقة بالهرم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: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وهي نوعان </w:t>
      </w:r>
      <w:proofErr w:type="gram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اولها: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ab/>
      </w:r>
      <w:proofErr w:type="gram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ab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ab/>
        <w:t>.</w:t>
      </w:r>
    </w:p>
    <w:p w:rsidR="00774B2B" w:rsidRPr="004F6A83" w:rsidRDefault="00774B2B" w:rsidP="00774B2B">
      <w:pPr>
        <w:pStyle w:val="Titre1"/>
        <w:bidi/>
        <w:spacing w:before="0" w:after="200"/>
        <w:ind w:left="-2"/>
        <w:jc w:val="both"/>
        <w:rPr>
          <w:rFonts w:ascii="Traditional Arabic" w:hAnsi="Traditional Arabic" w:cs="Traditional Arabic"/>
          <w:color w:val="auto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color w:val="auto"/>
          <w:sz w:val="38"/>
          <w:szCs w:val="38"/>
          <w:rtl/>
          <w:lang w:bidi="ar-DZ"/>
        </w:rPr>
        <w:t xml:space="preserve">*المعبد الجنائزي </w:t>
      </w:r>
      <w:r w:rsidRPr="004F6A83"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t xml:space="preserve">(معبد </w:t>
      </w:r>
      <w:proofErr w:type="spellStart"/>
      <w:r w:rsidRPr="004F6A83"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t>مرنبتاح</w:t>
      </w:r>
      <w:proofErr w:type="spellEnd"/>
      <w:r w:rsidRPr="004F6A83"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t xml:space="preserve"> ال</w:t>
      </w:r>
      <w:r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t>شكل</w:t>
      </w:r>
      <w:r w:rsidRPr="004F6A83"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t xml:space="preserve"> 23)</w:t>
      </w:r>
      <w:r w:rsidRPr="004F6A83">
        <w:rPr>
          <w:rFonts w:ascii="Traditional Arabic" w:hAnsi="Traditional Arabic" w:cs="Traditional Arabic"/>
          <w:color w:val="auto"/>
          <w:sz w:val="38"/>
          <w:szCs w:val="38"/>
          <w:rtl/>
          <w:lang w:bidi="ar-DZ"/>
        </w:rPr>
        <w:t>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/>
          <w:noProof/>
          <w:sz w:val="38"/>
          <w:szCs w:val="38"/>
          <w:rtl/>
        </w:rPr>
        <w:drawing>
          <wp:anchor distT="0" distB="0" distL="114300" distR="114300" simplePos="0" relativeHeight="251659264" behindDoc="0" locked="0" layoutInCell="1" allowOverlap="1" wp14:anchorId="1B0B8971" wp14:editId="24A46C2D">
            <wp:simplePos x="0" y="0"/>
            <wp:positionH relativeFrom="column">
              <wp:posOffset>3347720</wp:posOffset>
            </wp:positionH>
            <wp:positionV relativeFrom="paragraph">
              <wp:posOffset>2009140</wp:posOffset>
            </wp:positionV>
            <wp:extent cx="2470785" cy="1647825"/>
            <wp:effectExtent l="0" t="0" r="5715" b="9525"/>
            <wp:wrapNone/>
            <wp:docPr id="67" name="Image 2" descr="H:\na\IMAGE23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na\IMAGE23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78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وهو معبد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عظيم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الشأن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يقام عادة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مجاور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لهرم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وظيفته احتواء طقوس وشعائر عبادة الملك الاله لتحقيق رحلته الابدية الخالدة وهو تشييد معماري ضخم زين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بإفراط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بالرسوم الجدارية و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المنحوتات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والكتابات الهيروغليفية الملونة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يتركب البناء من مدخل ضخم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يؤدي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الى قاعة مظلمة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كثيرة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الاعمدة تتجسد كبناء رمزي،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بساحة مكشوفة منتظمة الشكل محاطة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باروقة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تعرض بها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تماثيل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الاله 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أ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غراض العبادة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8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774B2B" w:rsidRPr="0048590D" w:rsidRDefault="00774B2B" w:rsidP="00774B2B">
      <w:pPr>
        <w:pStyle w:val="Retraitcorpset1relig"/>
        <w:bidi/>
        <w:ind w:left="-2" w:firstLine="0"/>
        <w:jc w:val="center"/>
        <w:rPr>
          <w:rFonts w:ascii="Traditional Arabic" w:hAnsi="Traditional Arabic" w:cs="Traditional Arabic"/>
          <w:b/>
          <w:bCs/>
          <w:sz w:val="38"/>
          <w:szCs w:val="38"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                                 </w:t>
      </w:r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الشكل يمثل تخطيط معبد </w:t>
      </w:r>
      <w:proofErr w:type="spellStart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مرنبتاح</w:t>
      </w:r>
      <w:proofErr w:type="spellEnd"/>
      <w:r w:rsidRPr="0048590D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 xml:space="preserve"> الجنائزي</w:t>
      </w:r>
    </w:p>
    <w:p w:rsidR="00774B2B" w:rsidRDefault="00774B2B" w:rsidP="00774B2B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من اهم اجزاء المعبد الجنائزي نجد:</w:t>
      </w:r>
    </w:p>
    <w:p w:rsidR="00774B2B" w:rsidRDefault="00774B2B" w:rsidP="00774B2B">
      <w:pPr>
        <w:pStyle w:val="Retraitcorpsdetexte"/>
        <w:bidi/>
        <w:spacing w:after="200"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7E2BAF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lastRenderedPageBreak/>
        <w:t xml:space="preserve">الصرح: </w:t>
      </w:r>
    </w:p>
    <w:p w:rsidR="00774B2B" w:rsidRPr="004F6A83" w:rsidRDefault="00774B2B" w:rsidP="00774B2B">
      <w:pPr>
        <w:pStyle w:val="Retraitcorpsdetexte"/>
        <w:bidi/>
        <w:spacing w:after="200"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هو بناء ضخم له باب عملاق بجانبه برجان مستطيلان عظيمان ويوجد في واجهة كل صرح تماثيل الفراعنة الذين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امرو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ببنائه وبعدها توجد مسلة تم رواق،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على جانبيه تماثيل ابي الهول يؤديان الى اروقة او بهو.</w:t>
      </w:r>
    </w:p>
    <w:p w:rsidR="00774B2B" w:rsidRDefault="00774B2B" w:rsidP="00774B2B">
      <w:pPr>
        <w:pStyle w:val="Titre1"/>
        <w:bidi/>
        <w:spacing w:before="0" w:after="200"/>
        <w:ind w:left="-2"/>
        <w:jc w:val="both"/>
        <w:rPr>
          <w:rFonts w:ascii="Traditional Arabic" w:hAnsi="Traditional Arabic" w:cs="Traditional Arabic"/>
          <w:color w:val="auto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 w:hint="cs"/>
          <w:color w:val="auto"/>
          <w:sz w:val="38"/>
          <w:szCs w:val="38"/>
          <w:rtl/>
          <w:lang w:bidi="ar-DZ"/>
        </w:rPr>
        <w:t>بهر الأعمدة: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بهو محاط بأعمدة لها اشكال نباتات محلية كالبردي واللوتس والنخيل وهو المكان الذي يستريح فيه الملك.</w:t>
      </w:r>
    </w:p>
    <w:p w:rsidR="00774B2B" w:rsidRPr="004F6A83" w:rsidRDefault="00774B2B" w:rsidP="00774B2B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الساحة أو الصحن</w:t>
      </w: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هو عبارة عن قاعة يقوم سقفها على اعمدة ذات تيجان لا يدخلها سوى الفرعون وحاشيته والكهنة وكبار الخدم مخصصة لجمع القرابين وعبادة الالهة،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في واجهة القاعة صور تخلد اعمال الفرعون الذي اسس المعبد وأهداه لأحد الالهة.</w:t>
      </w:r>
    </w:p>
    <w:p w:rsidR="00774B2B" w:rsidRPr="00434B4A" w:rsidRDefault="00774B2B" w:rsidP="00774B2B">
      <w:pPr>
        <w:pStyle w:val="Retraitcorpset1relig"/>
        <w:bidi/>
        <w:ind w:left="0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434B4A"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قدس الأقداس أو مقصورة الإله: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هو المكان المظلم في المعبد في سقفه نجوم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9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.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774B2B" w:rsidRPr="004F6A83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</w:p>
    <w:p w:rsidR="00774B2B" w:rsidRPr="00FD298A" w:rsidRDefault="00774B2B" w:rsidP="00774B2B">
      <w:pPr>
        <w:pStyle w:val="Listepuces2"/>
        <w:bidi/>
        <w:ind w:left="-2" w:firstLine="0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FD298A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المعبد الطقوسي:</w:t>
      </w:r>
    </w:p>
    <w:p w:rsidR="00774B2B" w:rsidRDefault="00774B2B" w:rsidP="00774B2B">
      <w:pPr>
        <w:pStyle w:val="Retraitcorpset1relig"/>
        <w:bidi/>
        <w:ind w:left="-2" w:firstLine="710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lastRenderedPageBreak/>
        <w:t xml:space="preserve">المعبد الطقوسي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في الاساس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مكانا 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لإقامة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المعبود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10"/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هو عبارة عن ساحة فيها مذبح لنحر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الاضحيات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التي تقدم كقرابين ومسلة للشمس قائمة على قاعدة عريضة يحتفل فوقها بعبادة الشمس</w:t>
      </w:r>
      <w:r w:rsidRPr="004F6A83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في الهواء 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لطلق تحمل رسومات لمناظر طبيعية و حيوانية تغذيها الشمس بنورها وأمام تماثيل الالاه يؤدون المناسك والشعائر ،اسس من حوله  مجموعة من الغرف تجمع فيها القرابين ولوازم العبادة </w:t>
      </w:r>
      <w:r w:rsidRPr="004F6A83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11"/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من بين هده المعابد معبد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امنحوتب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معبد حتشبسوت(ابنة تحتمس الاول ملك مصر،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تزوجت من اخيها تحتمس الثاني وتقاسمت معه الحكم الى ان وافته المنية سنة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1504ق.م،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وبعدها حكمت مع ابنها الشاب تحتمس 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معبد نفرتيتي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(زوجة رمسيس </w:t>
      </w:r>
      <w:proofErr w:type="spellStart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التاني</w:t>
      </w:r>
      <w:proofErr w:type="spellEnd"/>
      <w:r w:rsidRPr="004F6A83">
        <w:rPr>
          <w:rFonts w:ascii="Traditional Arabic" w:hAnsi="Traditional Arabic" w:cs="Traditional Arabic"/>
          <w:sz w:val="38"/>
          <w:szCs w:val="38"/>
          <w:rtl/>
          <w:lang w:bidi="ar-DZ"/>
        </w:rPr>
        <w:t>).</w:t>
      </w:r>
    </w:p>
    <w:p w:rsidR="00774B2B" w:rsidRPr="004F6A83" w:rsidRDefault="00774B2B" w:rsidP="00774B2B">
      <w:pPr>
        <w:pStyle w:val="Listepuces"/>
        <w:numPr>
          <w:ilvl w:val="0"/>
          <w:numId w:val="0"/>
        </w:numPr>
        <w:tabs>
          <w:tab w:val="left" w:pos="255"/>
        </w:tabs>
        <w:bidi/>
        <w:ind w:left="-2"/>
        <w:jc w:val="both"/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</w:pPr>
      <w:r w:rsidRPr="004F6A83">
        <w:rPr>
          <w:rFonts w:ascii="Traditional Arabic" w:hAnsi="Traditional Arabic" w:cs="Traditional Arabic"/>
          <w:b/>
          <w:bCs/>
          <w:sz w:val="38"/>
          <w:szCs w:val="38"/>
          <w:rtl/>
          <w:lang w:bidi="ar-DZ"/>
        </w:rPr>
        <w:t>المسلات:</w:t>
      </w:r>
    </w:p>
    <w:p w:rsidR="00774B2B" w:rsidRDefault="00774B2B" w:rsidP="00774B2B">
      <w:pPr>
        <w:pStyle w:val="Listepuces"/>
        <w:numPr>
          <w:ilvl w:val="0"/>
          <w:numId w:val="0"/>
        </w:numPr>
        <w:tabs>
          <w:tab w:val="left" w:pos="255"/>
        </w:tabs>
        <w:bidi/>
        <w:ind w:left="-2"/>
        <w:jc w:val="both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rFonts w:ascii="Traditional Arabic" w:hAnsi="Traditional Arabic" w:cs="Traditional Arabic"/>
          <w:sz w:val="38"/>
          <w:szCs w:val="38"/>
          <w:rtl/>
          <w:lang w:bidi="ar-DZ"/>
        </w:rPr>
        <w:tab/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كلمة مسلة مشتقة من الاغريقية وتعني خنجر فالمسلات اعمدة ضخمة تكون قاعدتها </w:t>
      </w:r>
      <w:r w:rsidRPr="00630E2B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كبير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ة 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>تم تضيف باتجاه الاعلى حتى تنتهي بحافة مدببة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، 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>لدلك تبدو كالخناجر والمسلات فن معماري حيت كان يغطي طرف المسلة بمعدن براق تمين كال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ذ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>هب والفضة،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 xml:space="preserve"> تجلب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الحجارة الخاصة بها من كهوف بمدينة اسوان وكانت بعض المسلات </w:t>
      </w:r>
      <w:proofErr w:type="gramStart"/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>تحمل  على</w:t>
      </w:r>
      <w:proofErr w:type="gramEnd"/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جدرانها الك</w:t>
      </w:r>
      <w:r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ث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ير من النقوش والرسومات الهيروغليفية وكانت ترمز الى التل </w:t>
      </w:r>
      <w:r w:rsidRPr="00630E2B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الذي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ظهرت منه الشمس  وكانت رمزا مقدسا تقدم له طقوس </w:t>
      </w:r>
      <w:r w:rsidRPr="00630E2B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العبادة</w:t>
      </w:r>
      <w:r w:rsidRPr="00630E2B">
        <w:rPr>
          <w:rFonts w:ascii="Traditional Arabic" w:hAnsi="Traditional Arabic" w:cs="Traditional Arabic"/>
          <w:sz w:val="38"/>
          <w:szCs w:val="38"/>
          <w:rtl/>
          <w:lang w:bidi="ar-DZ"/>
        </w:rPr>
        <w:t xml:space="preserve"> والقرابين وتوضع في مقدمة المعبد لحمايته</w:t>
      </w:r>
      <w:r w:rsidRPr="00630E2B">
        <w:rPr>
          <w:rStyle w:val="Appelnotedebasdep"/>
          <w:rFonts w:ascii="Traditional Arabic" w:hAnsi="Traditional Arabic" w:cs="Traditional Arabic"/>
          <w:sz w:val="38"/>
          <w:szCs w:val="38"/>
          <w:rtl/>
          <w:lang w:bidi="ar-DZ"/>
        </w:rPr>
        <w:footnoteReference w:id="12"/>
      </w:r>
      <w:r w:rsidRPr="00630E2B">
        <w:rPr>
          <w:rFonts w:ascii="Traditional Arabic" w:hAnsi="Traditional Arabic" w:cs="Traditional Arabic" w:hint="cs"/>
          <w:sz w:val="38"/>
          <w:szCs w:val="38"/>
          <w:rtl/>
          <w:lang w:bidi="ar-DZ"/>
        </w:rPr>
        <w:t>(الصورة رقم24)</w:t>
      </w:r>
    </w:p>
    <w:p w:rsidR="00774B2B" w:rsidRPr="00630E2B" w:rsidRDefault="00774B2B" w:rsidP="00774B2B">
      <w:pPr>
        <w:pStyle w:val="Listepuces"/>
        <w:numPr>
          <w:ilvl w:val="0"/>
          <w:numId w:val="0"/>
        </w:numPr>
        <w:tabs>
          <w:tab w:val="left" w:pos="255"/>
        </w:tabs>
        <w:bidi/>
        <w:ind w:left="-2"/>
        <w:jc w:val="center"/>
        <w:rPr>
          <w:rFonts w:ascii="Traditional Arabic" w:hAnsi="Traditional Arabic" w:cs="Traditional Arabic"/>
          <w:sz w:val="38"/>
          <w:szCs w:val="38"/>
          <w:rtl/>
          <w:lang w:bidi="ar-DZ"/>
        </w:rPr>
      </w:pPr>
      <w:r>
        <w:rPr>
          <w:noProof/>
        </w:rPr>
        <w:lastRenderedPageBreak/>
        <w:drawing>
          <wp:inline distT="0" distB="0" distL="0" distR="0" wp14:anchorId="52D6AFB2" wp14:editId="111F2618">
            <wp:extent cx="1905000" cy="2486025"/>
            <wp:effectExtent l="0" t="0" r="0" b="0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B2B" w:rsidRDefault="00774B2B" w:rsidP="00774B2B">
      <w:pPr>
        <w:bidi/>
        <w:rPr>
          <w:rFonts w:hint="cs"/>
          <w:lang w:bidi="ar-DZ"/>
        </w:rPr>
      </w:pPr>
      <w:r>
        <w:rPr>
          <w:rFonts w:ascii="Traditional Arabic" w:hAnsi="Traditional Arabic" w:cs="Traditional Arabic" w:hint="cs"/>
          <w:b/>
          <w:bCs/>
          <w:sz w:val="38"/>
          <w:szCs w:val="38"/>
          <w:rtl/>
          <w:lang w:bidi="ar-DZ"/>
        </w:rPr>
        <w:t>الصورة تمثل نموذج لإحدى المسلات المصرية</w:t>
      </w:r>
      <w:bookmarkStart w:id="0" w:name="_GoBack"/>
      <w:bookmarkEnd w:id="0"/>
    </w:p>
    <w:sectPr w:rsidR="00774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E7E" w:rsidRDefault="00950E7E" w:rsidP="00774B2B">
      <w:pPr>
        <w:spacing w:after="0" w:line="240" w:lineRule="auto"/>
      </w:pPr>
      <w:r>
        <w:separator/>
      </w:r>
    </w:p>
  </w:endnote>
  <w:endnote w:type="continuationSeparator" w:id="0">
    <w:p w:rsidR="00950E7E" w:rsidRDefault="00950E7E" w:rsidP="0077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E7E" w:rsidRDefault="00950E7E" w:rsidP="00774B2B">
      <w:pPr>
        <w:spacing w:after="0" w:line="240" w:lineRule="auto"/>
      </w:pPr>
      <w:r>
        <w:separator/>
      </w:r>
    </w:p>
  </w:footnote>
  <w:footnote w:type="continuationSeparator" w:id="0">
    <w:p w:rsidR="00950E7E" w:rsidRDefault="00950E7E" w:rsidP="00774B2B">
      <w:pPr>
        <w:spacing w:after="0" w:line="240" w:lineRule="auto"/>
      </w:pPr>
      <w:r>
        <w:continuationSeparator/>
      </w:r>
    </w:p>
  </w:footnote>
  <w:footnote w:id="1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شارن شافية،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حضارة مصر الفرعونية،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المطبوعات الجامعية،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2009،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الجزائر،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ص07</w:t>
      </w:r>
      <w:r>
        <w:rPr>
          <w:rFonts w:ascii="Traditional Arabic" w:hAnsi="Traditional Arabic" w:cs="Traditional Arabic" w:hint="cs"/>
          <w:sz w:val="28"/>
          <w:szCs w:val="28"/>
          <w:rtl/>
          <w:lang w:bidi="ar-DZ"/>
        </w:rPr>
        <w:t>.</w:t>
      </w:r>
    </w:p>
  </w:footnote>
  <w:footnote w:id="2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عائد سليمان </w:t>
      </w:r>
      <w:proofErr w:type="spellStart"/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عارف،مدارس</w:t>
      </w:r>
      <w:proofErr w:type="spellEnd"/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الفن القديم، دار صادر بيروت 1972 ص94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3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قبيلة </w:t>
      </w:r>
      <w:proofErr w:type="spellStart"/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المالكي،تاريخ</w:t>
      </w:r>
      <w:proofErr w:type="spellEnd"/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العمارة عبر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العصور،دار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المناهج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للنشر،عمان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الاردن،2007،ص40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4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محمد مجد الدين مصطفى الماحي،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التخطيط والتصميم الحضري لساحات المقابر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ماجستير عمارة،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كاية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 الدراسات العليا والبحت العلمي،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جامعة السودان للعلوم و التكنولوجيا،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نوفمبر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2017 ،ص</w:t>
      </w:r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28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.</w:t>
      </w:r>
    </w:p>
  </w:footnote>
  <w:footnote w:id="5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شارن شافية،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ص141</w:t>
      </w:r>
    </w:p>
  </w:footnote>
  <w:footnote w:id="6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احمد فخري،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الاهرامات المصرية،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مؤسسة فرانكلين للطباعة والنشر،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مكتبة الانجلو المصرية ،193مصر،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ص384</w:t>
      </w:r>
    </w:p>
  </w:footnote>
  <w:footnote w:id="7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حمد فخري،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الاهرامات المصرية،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المرجع </w:t>
      </w:r>
      <w:r>
        <w:rPr>
          <w:rFonts w:ascii="Traditional Arabic" w:hAnsi="Traditional Arabic" w:cs="Traditional Arabic" w:hint="cs"/>
          <w:sz w:val="28"/>
          <w:szCs w:val="28"/>
          <w:rtl/>
        </w:rPr>
        <w:t>السابق.</w:t>
      </w:r>
    </w:p>
  </w:footnote>
  <w:footnote w:id="8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زهير الصاحب،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ص141</w:t>
      </w:r>
    </w:p>
  </w:footnote>
  <w:footnote w:id="9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شارن شافية،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ص149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10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اسكندر بدري،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تاريخ العمارة المصرية القديمة،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تر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محمود عبد الرزاق صلاح الدين رمضان،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سلسلة ال</w:t>
      </w:r>
      <w:r>
        <w:rPr>
          <w:rFonts w:ascii="Traditional Arabic" w:hAnsi="Traditional Arabic" w:cs="Traditional Arabic" w:hint="cs"/>
          <w:sz w:val="28"/>
          <w:szCs w:val="28"/>
          <w:rtl/>
        </w:rPr>
        <w:t>ث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قافة ال</w:t>
      </w:r>
      <w:r>
        <w:rPr>
          <w:rFonts w:ascii="Traditional Arabic" w:hAnsi="Traditional Arabic" w:cs="Traditional Arabic" w:hint="cs"/>
          <w:sz w:val="28"/>
          <w:szCs w:val="28"/>
          <w:rtl/>
        </w:rPr>
        <w:t>أث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رية والتاريخية مصر1954،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ص23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11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شارن شافية،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المرجع السابق،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ص149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  <w:footnote w:id="12">
    <w:p w:rsidR="00774B2B" w:rsidRPr="004F6A83" w:rsidRDefault="00774B2B" w:rsidP="00774B2B">
      <w:pPr>
        <w:pStyle w:val="Notedebasdepage"/>
        <w:bidi/>
        <w:jc w:val="both"/>
        <w:rPr>
          <w:rFonts w:ascii="Traditional Arabic" w:hAnsi="Traditional Arabic" w:cs="Traditional Arabic"/>
          <w:sz w:val="28"/>
          <w:szCs w:val="28"/>
          <w:rtl/>
          <w:lang w:bidi="ar-DZ"/>
        </w:rPr>
      </w:pPr>
      <w:r w:rsidRPr="004F6A83">
        <w:rPr>
          <w:rStyle w:val="Appelnotedebasdep"/>
          <w:rFonts w:ascii="Traditional Arabic" w:hAnsi="Traditional Arabic" w:cs="Traditional Arabic" w:hint="cs"/>
          <w:sz w:val="28"/>
          <w:szCs w:val="28"/>
        </w:rPr>
        <w:footnoteRef/>
      </w:r>
      <w:r w:rsidRPr="004F6A83">
        <w:rPr>
          <w:rFonts w:ascii="Traditional Arabic" w:hAnsi="Traditional Arabic" w:cs="Traditional Arabic" w:hint="cs"/>
          <w:sz w:val="28"/>
          <w:szCs w:val="28"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التيجاني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مياطة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 xml:space="preserve">، فنون العمارة الهندسية بمصر في عهد الدولة </w:t>
      </w:r>
      <w:proofErr w:type="spell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الحديتة</w:t>
      </w:r>
      <w:proofErr w:type="spell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دراسة اثرية،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مجلة قبس للدراسات الانسانية والاجتماعية،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proofErr w:type="gramStart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المجلد03</w:t>
      </w:r>
      <w:proofErr w:type="gramEnd"/>
      <w:r w:rsidRPr="004F6A83">
        <w:rPr>
          <w:rFonts w:ascii="Traditional Arabic" w:hAnsi="Traditional Arabic" w:cs="Traditional Arabic" w:hint="cs"/>
          <w:sz w:val="28"/>
          <w:szCs w:val="28"/>
          <w:rtl/>
        </w:rPr>
        <w:t>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العدد02،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ديسمبر2019،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4F6A83">
        <w:rPr>
          <w:rFonts w:ascii="Traditional Arabic" w:hAnsi="Traditional Arabic" w:cs="Traditional Arabic" w:hint="cs"/>
          <w:sz w:val="28"/>
          <w:szCs w:val="28"/>
          <w:rtl/>
        </w:rPr>
        <w:t>ص206</w:t>
      </w:r>
      <w:r>
        <w:rPr>
          <w:rFonts w:ascii="Traditional Arabic" w:hAnsi="Traditional Arabic" w:cs="Traditional Arabic" w:hint="cs"/>
          <w:sz w:val="28"/>
          <w:szCs w:val="2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27B014A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329E42C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bidi="ar-D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B"/>
    <w:rsid w:val="000900C9"/>
    <w:rsid w:val="00774B2B"/>
    <w:rsid w:val="00950E7E"/>
    <w:rsid w:val="00D0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160E9-DF91-4BC9-A5FD-42E864EB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74B2B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74B2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774B2B"/>
    <w:pPr>
      <w:spacing w:after="120" w:line="276" w:lineRule="auto"/>
      <w:ind w:left="283"/>
    </w:pPr>
    <w:rPr>
      <w:rFonts w:eastAsiaTheme="minorEastAsia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74B2B"/>
    <w:rPr>
      <w:rFonts w:eastAsiaTheme="minorEastAsia"/>
      <w:lang w:eastAsia="fr-FR"/>
    </w:rPr>
  </w:style>
  <w:style w:type="paragraph" w:styleId="Retraitcorpset1relig">
    <w:name w:val="Body Text First Indent 2"/>
    <w:basedOn w:val="Retraitcorpsdetexte"/>
    <w:link w:val="Retraitcorpset1religCar"/>
    <w:uiPriority w:val="99"/>
    <w:unhideWhenUsed/>
    <w:rsid w:val="00774B2B"/>
    <w:pPr>
      <w:spacing w:after="200"/>
      <w:ind w:left="360"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rsid w:val="00774B2B"/>
    <w:rPr>
      <w:rFonts w:eastAsiaTheme="minorEastAsia"/>
      <w:lang w:eastAsia="fr-FR"/>
    </w:rPr>
  </w:style>
  <w:style w:type="paragraph" w:styleId="Listepuces">
    <w:name w:val="List Bullet"/>
    <w:basedOn w:val="Normal"/>
    <w:uiPriority w:val="99"/>
    <w:unhideWhenUsed/>
    <w:rsid w:val="00774B2B"/>
    <w:pPr>
      <w:numPr>
        <w:numId w:val="1"/>
      </w:numPr>
      <w:tabs>
        <w:tab w:val="num" w:pos="501"/>
      </w:tabs>
      <w:spacing w:after="200" w:line="276" w:lineRule="auto"/>
      <w:contextualSpacing/>
    </w:pPr>
    <w:rPr>
      <w:rFonts w:eastAsiaTheme="minorEastAsia"/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774B2B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74B2B"/>
    <w:rPr>
      <w:rFonts w:eastAsiaTheme="minorEastAsia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774B2B"/>
    <w:rPr>
      <w:vertAlign w:val="superscript"/>
    </w:rPr>
  </w:style>
  <w:style w:type="paragraph" w:styleId="Listepuces2">
    <w:name w:val="List Bullet 2"/>
    <w:basedOn w:val="Normal"/>
    <w:uiPriority w:val="99"/>
    <w:unhideWhenUsed/>
    <w:rsid w:val="00774B2B"/>
    <w:pPr>
      <w:numPr>
        <w:numId w:val="2"/>
      </w:numPr>
      <w:spacing w:after="200" w:line="276" w:lineRule="auto"/>
      <w:contextualSpacing/>
    </w:pPr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945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2025-03-10T13:54:00Z</dcterms:created>
  <dcterms:modified xsi:type="dcterms:W3CDTF">2025-03-10T13:57:00Z</dcterms:modified>
</cp:coreProperties>
</file>