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61" w:rsidRDefault="009B5061" w:rsidP="009B5061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</w:p>
    <w:p w:rsidR="009B5061" w:rsidRDefault="009B5061" w:rsidP="009B5061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الموضوع:خصائص</w:t>
      </w:r>
      <w:proofErr w:type="spellEnd"/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فن العم</w:t>
      </w: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ارة والنحت والتصوير في الدولة القديمة والوسطى و الحديثة</w:t>
      </w:r>
    </w:p>
    <w:p w:rsidR="009B5061" w:rsidRPr="004F6A83" w:rsidRDefault="009B5061" w:rsidP="009B5061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34B4A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 xml:space="preserve">مراحل </w:t>
      </w:r>
      <w:r w:rsidRPr="00434B4A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تسلسل </w:t>
      </w:r>
      <w:r w:rsidRPr="00434B4A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الفن المصري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:</w:t>
      </w:r>
    </w:p>
    <w:p w:rsidR="009B5061" w:rsidRPr="004F6A83" w:rsidRDefault="009B5061" w:rsidP="009B5061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ينقسم التاريخ المصري ال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ى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واحد وتلاتين اسرة وقد كانت هده الاسر تنقسم الى م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ر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ح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ل رئيسية وهي:</w:t>
      </w:r>
    </w:p>
    <w:p w:rsidR="009B5061" w:rsidRDefault="009B5061" w:rsidP="009B5061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الدولة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ألقديمة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الدولة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ألوسطى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الدولة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ألحدي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ة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تتميز كل دولة بخصائص في مجالات العمارة والتصوير والنحت.</w:t>
      </w:r>
    </w:p>
    <w:p w:rsidR="009B5061" w:rsidRPr="004F6A83" w:rsidRDefault="009B5061" w:rsidP="009B5061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34B4A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العمارة في الدولة المصرية القديمة 2950-2990 ق م: </w:t>
      </w:r>
    </w:p>
    <w:p w:rsidR="009B5061" w:rsidRDefault="009B5061" w:rsidP="009B5061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color w:val="FF0000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تطور فن تشييد المقابر وظهرت الاهرامات المدرجة في عهد الملك </w:t>
      </w:r>
      <w:proofErr w:type="spellStart"/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زوسر</w:t>
      </w:r>
      <w:proofErr w:type="spellEnd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حيت تكونت من ستة مصاطب تتدرج فوق بعضها البعض وتصغر بالتدريج باتجاه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الأعلى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،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بعدها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ظ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هرت المقابر الهرمية التي تم فيها استبدال اللبن بالحجارة،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حتى تطورت المقابر الهرمية في عهد الاسرة الرابعة حيث ظهرت المقابر الهرمية في عهد الاسرة الرابعة حيت ظهرت اهرامات خوفو وخفرع ومنقرع في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الجيزة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1"/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(</w:t>
      </w:r>
      <w:proofErr w:type="gramEnd"/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الصورة رقم14)</w:t>
      </w:r>
      <w:r w:rsidRPr="004F6A83">
        <w:rPr>
          <w:rFonts w:ascii="Traditional Arabic" w:hAnsi="Traditional Arabic" w:cs="Traditional Arabic"/>
          <w:color w:val="FF0000"/>
          <w:sz w:val="38"/>
          <w:szCs w:val="38"/>
          <w:rtl/>
          <w:lang w:bidi="ar-DZ"/>
        </w:rPr>
        <w:t>.</w:t>
      </w:r>
    </w:p>
    <w:p w:rsidR="009B5061" w:rsidRPr="004F6A83" w:rsidRDefault="009B5061" w:rsidP="009B5061">
      <w:pPr>
        <w:pStyle w:val="Retraitcorpset1relig"/>
        <w:bidi/>
        <w:ind w:left="-2" w:firstLine="710"/>
        <w:jc w:val="center"/>
        <w:rPr>
          <w:rFonts w:ascii="Traditional Arabic" w:hAnsi="Traditional Arabic" w:cs="Traditional Arabic"/>
          <w:color w:val="FF0000"/>
          <w:sz w:val="38"/>
          <w:szCs w:val="38"/>
          <w:rtl/>
          <w:lang w:bidi="ar-DZ"/>
        </w:rPr>
      </w:pPr>
      <w:r>
        <w:rPr>
          <w:noProof/>
        </w:rPr>
        <w:drawing>
          <wp:inline distT="0" distB="0" distL="0" distR="0" wp14:anchorId="6C3A7D38" wp14:editId="1AE2C442">
            <wp:extent cx="2762250" cy="165735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61" w:rsidRDefault="009B5061" w:rsidP="009B5061">
      <w:pPr>
        <w:pStyle w:val="Retraitcorpset1relig"/>
        <w:bidi/>
        <w:ind w:left="-2" w:firstLine="0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lastRenderedPageBreak/>
        <w:t>الصورة تمثل اهرامات الجيزة</w:t>
      </w:r>
    </w:p>
    <w:p w:rsidR="009B5061" w:rsidRPr="004F6A83" w:rsidRDefault="009B5061" w:rsidP="009B5061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34B4A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مميزات النحت في الدولة القديمة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: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تميز النحت في الدولة القديمة بمجموعة من الخصائص تم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لت فيما يلي:</w:t>
      </w:r>
    </w:p>
    <w:p w:rsidR="009B5061" w:rsidRPr="004F6A83" w:rsidRDefault="009B5061" w:rsidP="009B5061">
      <w:pPr>
        <w:pStyle w:val="Listepuces3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تجسيد الشخصيا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ت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الملكية في بنيان جسدي قوي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و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-نحث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التماثيل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في اوضاع تقليدية تتسم بالسكينة والوقار.</w:t>
      </w:r>
    </w:p>
    <w:p w:rsidR="009B5061" w:rsidRPr="004F6A83" w:rsidRDefault="009B5061" w:rsidP="009B5061">
      <w:pPr>
        <w:pStyle w:val="Listepuces3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الاهتمام بالمظهر الامامي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وإهمال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المظهر الخلفي.</w:t>
      </w:r>
    </w:p>
    <w:p w:rsidR="009B5061" w:rsidRDefault="009B5061" w:rsidP="009B5061">
      <w:pPr>
        <w:pStyle w:val="Listepuces3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الايدي ملتصقة بالجسم و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الثماتيل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اما واقفة او راكعة او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عابدة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اشهر</w:t>
      </w:r>
      <w:proofErr w:type="gram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التماتيل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تمتال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الملك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زوسر</w:t>
      </w:r>
      <w:proofErr w:type="spellEnd"/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2"/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(الصورة رقم15)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</w:p>
    <w:p w:rsidR="009B5061" w:rsidRDefault="009B5061" w:rsidP="009B5061">
      <w:pPr>
        <w:pStyle w:val="Listepuces3"/>
        <w:numPr>
          <w:ilvl w:val="0"/>
          <w:numId w:val="0"/>
        </w:numPr>
        <w:bidi/>
        <w:ind w:left="-2"/>
        <w:jc w:val="both"/>
        <w:rPr>
          <w:rFonts w:ascii="Traditional Arabic" w:hAnsi="Traditional Arabic" w:cs="Traditional Arabic"/>
          <w:sz w:val="38"/>
          <w:szCs w:val="38"/>
          <w:lang w:bidi="ar-DZ"/>
        </w:rPr>
      </w:pPr>
    </w:p>
    <w:p w:rsidR="009B5061" w:rsidRDefault="009B5061" w:rsidP="009B5061">
      <w:pPr>
        <w:pStyle w:val="Listepuces3"/>
        <w:numPr>
          <w:ilvl w:val="0"/>
          <w:numId w:val="0"/>
        </w:numPr>
        <w:bidi/>
        <w:ind w:left="-2"/>
        <w:jc w:val="center"/>
        <w:rPr>
          <w:rFonts w:ascii="Traditional Arabic" w:hAnsi="Traditional Arabic" w:cs="Traditional Arabic"/>
          <w:sz w:val="38"/>
          <w:szCs w:val="38"/>
          <w:lang w:bidi="ar-DZ"/>
        </w:rPr>
      </w:pPr>
      <w:r>
        <w:rPr>
          <w:rFonts w:ascii="Traditional Arabic" w:hAnsi="Traditional Arabic" w:cs="Traditional Arabic"/>
          <w:noProof/>
          <w:sz w:val="38"/>
          <w:szCs w:val="38"/>
          <w:rtl/>
        </w:rPr>
        <w:drawing>
          <wp:inline distT="0" distB="0" distL="0" distR="0" wp14:anchorId="088FD5A5" wp14:editId="1103E13A">
            <wp:extent cx="2394585" cy="1905000"/>
            <wp:effectExtent l="19050" t="0" r="5715" b="0"/>
            <wp:docPr id="66" name="Image 1" descr="H:\na\IMAG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a\IMAGE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061" w:rsidRPr="0048590D" w:rsidRDefault="009B5061" w:rsidP="009B5061">
      <w:pPr>
        <w:pStyle w:val="Listepuces3"/>
        <w:numPr>
          <w:ilvl w:val="0"/>
          <w:numId w:val="0"/>
        </w:numPr>
        <w:bidi/>
        <w:jc w:val="center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proofErr w:type="spellStart"/>
      <w:r w:rsidRPr="0048590D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تمتال</w:t>
      </w:r>
      <w:proofErr w:type="spellEnd"/>
      <w:r w:rsidRPr="0048590D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الملك </w:t>
      </w:r>
      <w:proofErr w:type="spellStart"/>
      <w:r w:rsidRPr="0048590D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زوسر</w:t>
      </w:r>
      <w:proofErr w:type="spellEnd"/>
    </w:p>
    <w:p w:rsidR="009B5061" w:rsidRPr="0048590D" w:rsidRDefault="009B5061" w:rsidP="009B5061">
      <w:pPr>
        <w:pStyle w:val="Listecontinue3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48590D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النقش والتصوير في الدولة القديمة:</w:t>
      </w:r>
    </w:p>
    <w:p w:rsidR="009B5061" w:rsidRPr="004F6A83" w:rsidRDefault="009B5061" w:rsidP="009B5061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تميز بتصوير حياة اصحاب القبور اليومية لاعتقادهم ان هده الصور ستكون حقيقية وتعطيهم المتعة في حياتهم الاخرى،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إذ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فضلو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الرسوم المنقوشة على الخشب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و الجبس</w:t>
      </w:r>
      <w:proofErr w:type="gram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من اهم مميزاتها:</w:t>
      </w:r>
    </w:p>
    <w:p w:rsidR="009B5061" w:rsidRPr="004F6A83" w:rsidRDefault="009B5061" w:rsidP="009B5061">
      <w:pPr>
        <w:pStyle w:val="Listepuces3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lastRenderedPageBreak/>
        <w:t>اغلب الصور تم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ل حياتهم الدينية وهم ي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ؤ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دون الطقوس.</w:t>
      </w:r>
    </w:p>
    <w:p w:rsidR="009B5061" w:rsidRDefault="009B5061" w:rsidP="009B5061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- تفضيل الرسومات المنقوشة على الخشب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والجبس 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3"/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.</w:t>
      </w:r>
      <w:proofErr w:type="gramEnd"/>
    </w:p>
    <w:p w:rsidR="009B5061" w:rsidRPr="004F6A83" w:rsidRDefault="009B5061" w:rsidP="009B5061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34B4A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الدولة الوسطى 1785-2134 ق م</w:t>
      </w: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:</w:t>
      </w:r>
    </w:p>
    <w:p w:rsidR="009B5061" w:rsidRPr="005A7D32" w:rsidRDefault="009B5061" w:rsidP="009B5061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5A7D32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مميزات العمارة:</w:t>
      </w:r>
    </w:p>
    <w:p w:rsidR="009B5061" w:rsidRPr="004F6A83" w:rsidRDefault="009B5061" w:rsidP="009B5061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color w:val="FF0000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الاهتمام ببناء </w:t>
      </w:r>
      <w:proofErr w:type="spellStart"/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ألمعابد</w:t>
      </w:r>
      <w:proofErr w:type="spellEnd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بناء الاهرامات الصغيرة من </w:t>
      </w:r>
      <w:proofErr w:type="spellStart"/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ألطوب</w:t>
      </w:r>
      <w:proofErr w:type="spellEnd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ظهور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ألمسلات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ظهور العمود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النخيلي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لتزيين المعابد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4"/>
      </w:r>
      <w:r w:rsidRPr="004F6A83">
        <w:rPr>
          <w:rFonts w:ascii="Traditional Arabic" w:hAnsi="Traditional Arabic" w:cs="Traditional Arabic"/>
          <w:color w:val="FF0000"/>
          <w:sz w:val="38"/>
          <w:szCs w:val="38"/>
          <w:rtl/>
          <w:lang w:bidi="ar-DZ"/>
        </w:rPr>
        <w:t xml:space="preserve"> </w:t>
      </w:r>
    </w:p>
    <w:p w:rsidR="009B5061" w:rsidRPr="00434B4A" w:rsidRDefault="009B5061" w:rsidP="009B5061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434B4A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فن النحت:</w:t>
      </w:r>
    </w:p>
    <w:p w:rsidR="009B5061" w:rsidRPr="004F6A83" w:rsidRDefault="009B5061" w:rsidP="009B5061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لم يكن فن النحت منتشرا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بكثرة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كما في الدولة القديمة ولم يعتر على التما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يل سوى القليل منها.</w:t>
      </w:r>
    </w:p>
    <w:p w:rsidR="009B5061" w:rsidRDefault="009B5061" w:rsidP="009B5061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E43015" wp14:editId="39157071">
            <wp:simplePos x="0" y="0"/>
            <wp:positionH relativeFrom="column">
              <wp:posOffset>1785620</wp:posOffset>
            </wp:positionH>
            <wp:positionV relativeFrom="paragraph">
              <wp:posOffset>937895</wp:posOffset>
            </wp:positionV>
            <wp:extent cx="2181225" cy="2638425"/>
            <wp:effectExtent l="0" t="0" r="9525" b="952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-ظهرت بعض التما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يل الصغيرة المصنوعة من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الخشب ،</w:t>
      </w:r>
      <w:proofErr w:type="gram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امتازت هده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التماثيل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بالبساط</w:t>
      </w:r>
      <w:r w:rsidRPr="004F6A83">
        <w:rPr>
          <w:rFonts w:ascii="Traditional Arabic" w:hAnsi="Traditional Arabic" w:cs="Traditional Arabic" w:hint="eastAsia"/>
          <w:sz w:val="38"/>
          <w:szCs w:val="38"/>
          <w:rtl/>
          <w:lang w:bidi="ar-DZ"/>
        </w:rPr>
        <w:t>ة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،نحت الفنان الملك على هيئة رجل وليس الاه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هم التما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يل تم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  الملك </w:t>
      </w:r>
      <w:proofErr w:type="spellStart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منحوتب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مرتديا تاجا</w:t>
      </w:r>
      <w:r w:rsidRPr="00FE3708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5"/>
      </w:r>
      <w:r w:rsidRPr="00FE3708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 w:rsidRPr="00FE3708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(الصورة رقم16)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.</w:t>
      </w:r>
    </w:p>
    <w:p w:rsidR="009B5061" w:rsidRDefault="009B5061" w:rsidP="009B5061">
      <w:pPr>
        <w:pStyle w:val="Retraitcorpset1relig"/>
        <w:ind w:left="-2" w:firstLine="0"/>
        <w:jc w:val="center"/>
        <w:rPr>
          <w:rFonts w:ascii="Traditional Arabic" w:hAnsi="Traditional Arabic" w:cs="Traditional Arabic"/>
          <w:color w:val="FF0000"/>
          <w:sz w:val="38"/>
          <w:szCs w:val="38"/>
          <w:rtl/>
          <w:lang w:bidi="ar-DZ"/>
        </w:rPr>
      </w:pPr>
    </w:p>
    <w:p w:rsidR="009B5061" w:rsidRDefault="009B5061" w:rsidP="009B5061">
      <w:pPr>
        <w:pStyle w:val="Retraitcorpset1relig"/>
        <w:ind w:left="-2" w:firstLine="0"/>
        <w:jc w:val="center"/>
        <w:rPr>
          <w:rFonts w:ascii="Traditional Arabic" w:hAnsi="Traditional Arabic" w:cs="Traditional Arabic"/>
          <w:color w:val="FF0000"/>
          <w:sz w:val="38"/>
          <w:szCs w:val="38"/>
          <w:rtl/>
          <w:lang w:bidi="ar-DZ"/>
        </w:rPr>
      </w:pPr>
    </w:p>
    <w:p w:rsidR="009B5061" w:rsidRDefault="009B5061" w:rsidP="009B5061">
      <w:pPr>
        <w:pStyle w:val="Retraitcorpset1relig"/>
        <w:ind w:left="-2" w:firstLine="0"/>
        <w:jc w:val="center"/>
        <w:rPr>
          <w:rFonts w:ascii="Traditional Arabic" w:hAnsi="Traditional Arabic" w:cs="Traditional Arabic"/>
          <w:color w:val="FF0000"/>
          <w:sz w:val="38"/>
          <w:szCs w:val="38"/>
          <w:rtl/>
          <w:lang w:bidi="ar-DZ"/>
        </w:rPr>
      </w:pPr>
    </w:p>
    <w:p w:rsidR="009B5061" w:rsidRDefault="009B5061" w:rsidP="009B5061">
      <w:pPr>
        <w:pStyle w:val="Retraitcorpset1relig"/>
        <w:ind w:left="-2" w:firstLine="0"/>
        <w:jc w:val="center"/>
        <w:rPr>
          <w:rFonts w:ascii="Traditional Arabic" w:hAnsi="Traditional Arabic" w:cs="Traditional Arabic"/>
          <w:color w:val="FF0000"/>
          <w:sz w:val="38"/>
          <w:szCs w:val="38"/>
          <w:rtl/>
          <w:lang w:bidi="ar-DZ"/>
        </w:rPr>
      </w:pPr>
    </w:p>
    <w:p w:rsidR="009B5061" w:rsidRPr="00E70889" w:rsidRDefault="009B5061" w:rsidP="009B5061">
      <w:pPr>
        <w:pStyle w:val="Retraitcorpset1relig"/>
        <w:ind w:left="-2" w:firstLine="0"/>
        <w:jc w:val="center"/>
        <w:rPr>
          <w:rFonts w:ascii="Traditional Arabic" w:hAnsi="Traditional Arabic" w:cs="Traditional Arabic"/>
          <w:color w:val="FF0000"/>
          <w:sz w:val="20"/>
          <w:szCs w:val="20"/>
          <w:rtl/>
          <w:lang w:bidi="ar-DZ"/>
        </w:rPr>
      </w:pPr>
    </w:p>
    <w:p w:rsidR="009B5061" w:rsidRPr="005A7D32" w:rsidRDefault="009B5061" w:rsidP="009B5061">
      <w:pPr>
        <w:pStyle w:val="Retraitcorpsdetexte"/>
        <w:bidi/>
        <w:spacing w:after="200"/>
        <w:ind w:left="-2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5A7D32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الصورة </w:t>
      </w:r>
      <w:proofErr w:type="gramStart"/>
      <w:r w:rsidRPr="005A7D32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تمتل</w:t>
      </w:r>
      <w:proofErr w:type="gramEnd"/>
      <w:r w:rsidRPr="005A7D32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</w:t>
      </w:r>
      <w:proofErr w:type="spellStart"/>
      <w:r w:rsidRPr="005A7D32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تمتال</w:t>
      </w:r>
      <w:proofErr w:type="spellEnd"/>
      <w:r w:rsidRPr="005A7D32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الملك </w:t>
      </w:r>
      <w:proofErr w:type="spellStart"/>
      <w:r w:rsidRPr="005A7D32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ايمنحوتب</w:t>
      </w:r>
      <w:proofErr w:type="spellEnd"/>
    </w:p>
    <w:p w:rsidR="009B5061" w:rsidRPr="00FE3708" w:rsidRDefault="009B5061" w:rsidP="009B5061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FE3708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النقش والتصوير:</w:t>
      </w:r>
    </w:p>
    <w:p w:rsidR="009B5061" w:rsidRDefault="009B5061" w:rsidP="009B5061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عبر النقش عن موضوعات الحياة اليومية،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امتاز بمحاكات الطبيعة وتسجيل ادق </w:t>
      </w:r>
      <w:r w:rsidRPr="00FE3708">
        <w:rPr>
          <w:rFonts w:ascii="Traditional Arabic" w:hAnsi="Traditional Arabic" w:cs="Traditional Arabic"/>
          <w:sz w:val="38"/>
          <w:szCs w:val="38"/>
          <w:rtl/>
          <w:lang w:bidi="ar-DZ"/>
        </w:rPr>
        <w:t>التفاصيل،</w:t>
      </w:r>
      <w:r w:rsidRPr="00FE3708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FE3708">
        <w:rPr>
          <w:rFonts w:ascii="Traditional Arabic" w:hAnsi="Traditional Arabic" w:cs="Traditional Arabic"/>
          <w:sz w:val="38"/>
          <w:szCs w:val="38"/>
          <w:rtl/>
          <w:lang w:bidi="ar-DZ"/>
        </w:rPr>
        <w:t>تسجيل مناظر الحقول و الاشجار وقنوا</w:t>
      </w:r>
      <w:r w:rsidRPr="00FE3708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ت</w:t>
      </w:r>
      <w:r w:rsidRPr="00FE3708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proofErr w:type="gramStart"/>
      <w:r w:rsidRPr="00FE3708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المياه </w:t>
      </w:r>
      <w:r w:rsidRPr="00FE3708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6"/>
      </w:r>
      <w:r w:rsidRPr="00FE3708">
        <w:rPr>
          <w:rFonts w:ascii="Traditional Arabic" w:hAnsi="Traditional Arabic" w:cs="Traditional Arabic"/>
          <w:sz w:val="38"/>
          <w:szCs w:val="38"/>
          <w:rtl/>
          <w:lang w:bidi="ar-DZ"/>
        </w:rPr>
        <w:t>،</w:t>
      </w:r>
      <w:proofErr w:type="gramEnd"/>
      <w:r w:rsidRPr="00FE3708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FE3708">
        <w:rPr>
          <w:rFonts w:ascii="Traditional Arabic" w:hAnsi="Traditional Arabic" w:cs="Traditional Arabic"/>
          <w:sz w:val="38"/>
          <w:szCs w:val="38"/>
          <w:rtl/>
          <w:lang w:bidi="ar-DZ"/>
        </w:rPr>
        <w:t>تسجيل حفلات الصيد والطرب،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FE3708">
        <w:rPr>
          <w:rFonts w:ascii="Traditional Arabic" w:hAnsi="Traditional Arabic" w:cs="Traditional Arabic"/>
          <w:sz w:val="38"/>
          <w:szCs w:val="38"/>
          <w:rtl/>
          <w:lang w:bidi="ar-DZ"/>
        </w:rPr>
        <w:t>محاولة رسم المنظور فقد قام الفنان برسم الحيوانات بالناحية اليسرى من اللوحة على ارضية ترتفع قليلا من الناحية اليمنى 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إ</w:t>
      </w:r>
      <w:r w:rsidRPr="00FE3708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براز البعد و القرب </w:t>
      </w:r>
      <w:r w:rsidRPr="00FE3708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7"/>
      </w:r>
      <w:r w:rsidRPr="00FE3708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(الصورة رقم17)</w:t>
      </w:r>
    </w:p>
    <w:p w:rsidR="009B5061" w:rsidRDefault="009B5061" w:rsidP="009B5061">
      <w:pPr>
        <w:pStyle w:val="Retraitcorpsdetexte"/>
        <w:bidi/>
        <w:spacing w:after="200"/>
        <w:ind w:left="-2"/>
        <w:jc w:val="center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noProof/>
        </w:rPr>
        <w:drawing>
          <wp:inline distT="0" distB="0" distL="0" distR="0" wp14:anchorId="06877E97" wp14:editId="17100AAD">
            <wp:extent cx="2571750" cy="1781175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61" w:rsidRPr="00D7435E" w:rsidRDefault="009B5061" w:rsidP="009B5061">
      <w:pPr>
        <w:pStyle w:val="Retraitcorpsdetexte"/>
        <w:bidi/>
        <w:spacing w:after="200"/>
        <w:ind w:left="-2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D7435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الصورة </w:t>
      </w:r>
      <w:proofErr w:type="gramStart"/>
      <w:r w:rsidRPr="00D7435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تمتل</w:t>
      </w:r>
      <w:proofErr w:type="gramEnd"/>
      <w:r w:rsidRPr="00D7435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تصوير جداري يجسد عملية الحرث في الحقول</w:t>
      </w:r>
    </w:p>
    <w:p w:rsidR="009B5061" w:rsidRPr="00FE3708" w:rsidRDefault="009B5061" w:rsidP="009B5061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FE3708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الدولة الحدي</w:t>
      </w: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ث</w:t>
      </w:r>
      <w:r w:rsidRPr="00FE3708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ة 1580-1090 ق م:</w:t>
      </w:r>
    </w:p>
    <w:p w:rsidR="009B5061" w:rsidRPr="00FE3708" w:rsidRDefault="009B5061" w:rsidP="009B5061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FE3708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العمارة:</w:t>
      </w:r>
    </w:p>
    <w:p w:rsidR="009B5061" w:rsidRDefault="009B5061" w:rsidP="009B5061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lastRenderedPageBreak/>
        <w:t>اهتم ملوك هده الدولة بتشييد المعابد 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لآ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لهة كما شيدو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المعابد الجنائزية في الضفة الغربية لطيبة،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اتخ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ذ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تصميم المعابد بصفة عامة شكلا يكاد يكون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ثابت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ومن مظاهر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ذ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لك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اشتراك معبد الاقصر والكرنك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(الصورة 18)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في هدا الطراز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الذي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شيد على مساحة مستطيلة،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كما برز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الاهتمام بال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عمدة.</w:t>
      </w:r>
    </w:p>
    <w:p w:rsidR="009B5061" w:rsidRPr="004F6A83" w:rsidRDefault="009B5061" w:rsidP="009B5061">
      <w:pPr>
        <w:pStyle w:val="Retraitcorpset1relig"/>
        <w:bidi/>
        <w:ind w:left="-2" w:firstLine="710"/>
        <w:jc w:val="center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noProof/>
        </w:rPr>
        <w:drawing>
          <wp:inline distT="0" distB="0" distL="0" distR="0" wp14:anchorId="5D763B94" wp14:editId="1BD88777">
            <wp:extent cx="2857500" cy="160020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61" w:rsidRPr="00D7435E" w:rsidRDefault="009B5061" w:rsidP="009B5061">
      <w:pPr>
        <w:pStyle w:val="Retraitcorpsdetexte"/>
        <w:bidi/>
        <w:spacing w:after="200"/>
        <w:ind w:left="-2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D7435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الصورة </w:t>
      </w:r>
      <w:proofErr w:type="gramStart"/>
      <w:r w:rsidRPr="00D7435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تمتل</w:t>
      </w:r>
      <w:proofErr w:type="gramEnd"/>
      <w:r w:rsidRPr="00D7435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معبد الاقصر </w:t>
      </w:r>
      <w:proofErr w:type="spellStart"/>
      <w:r w:rsidRPr="00D7435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با</w:t>
      </w:r>
      <w:proofErr w:type="spellEnd"/>
      <w:r w:rsidRPr="00D7435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الكرنك</w:t>
      </w:r>
    </w:p>
    <w:p w:rsidR="009B5061" w:rsidRDefault="009B5061" w:rsidP="009B5061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</w:p>
    <w:p w:rsidR="009B5061" w:rsidRDefault="009B5061" w:rsidP="009B5061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</w:p>
    <w:p w:rsidR="009B5061" w:rsidRPr="00FE3708" w:rsidRDefault="009B5061" w:rsidP="009B5061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FE3708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النقش والتصوير:</w:t>
      </w:r>
    </w:p>
    <w:p w:rsidR="009B5061" w:rsidRDefault="009B5061" w:rsidP="009B5061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انتشر التصوير الجداري والصور التوضيحية على 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اث،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استبدال النقوش البارزة بالتصاوير الملونة لتزيين جدران المقابر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الاهتمام ب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إ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براز الظل والنور،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تصوير مناظر الاحتفالات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التي ظهرت فيها السيدات بملابس فاخرة للتعبير عن الترف الدي وصل اليه الشعب في عهد الامبراطورية الحديثة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8"/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(االصورة19</w:t>
      </w:r>
      <w:proofErr w:type="gramStart"/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)</w:t>
      </w:r>
      <w:r w:rsidRPr="004F6A83">
        <w:rPr>
          <w:rFonts w:ascii="Traditional Arabic" w:hAnsi="Traditional Arabic" w:cs="Traditional Arabic"/>
          <w:color w:val="FF0000"/>
          <w:sz w:val="38"/>
          <w:szCs w:val="38"/>
          <w:rtl/>
          <w:lang w:bidi="ar-DZ"/>
        </w:rPr>
        <w:t xml:space="preserve"> </w:t>
      </w:r>
      <w:r w:rsidRPr="00FE3708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  <w:proofErr w:type="gramEnd"/>
    </w:p>
    <w:p w:rsidR="009B5061" w:rsidRPr="004F6A83" w:rsidRDefault="009B5061" w:rsidP="009B5061">
      <w:pPr>
        <w:pStyle w:val="Retraitcorpset1relig"/>
        <w:bidi/>
        <w:ind w:left="-2" w:firstLine="710"/>
        <w:jc w:val="center"/>
        <w:rPr>
          <w:rFonts w:ascii="Traditional Arabic" w:hAnsi="Traditional Arabic" w:cs="Traditional Arabic"/>
          <w:color w:val="FF0000"/>
          <w:sz w:val="38"/>
          <w:szCs w:val="38"/>
          <w:rtl/>
          <w:lang w:bidi="ar-DZ"/>
        </w:rPr>
      </w:pPr>
      <w:r>
        <w:rPr>
          <w:noProof/>
        </w:rPr>
        <w:lastRenderedPageBreak/>
        <w:drawing>
          <wp:inline distT="0" distB="0" distL="0" distR="0" wp14:anchorId="5CD1ACE1" wp14:editId="72E22CF8">
            <wp:extent cx="3619500" cy="1905000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61" w:rsidRDefault="009B5061" w:rsidP="009B5061">
      <w:pPr>
        <w:pStyle w:val="Retraitcorpsdetexte"/>
        <w:bidi/>
        <w:spacing w:after="200"/>
        <w:ind w:left="-2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الصورة توضح زي السيدات الفاخر</w:t>
      </w:r>
    </w:p>
    <w:p w:rsidR="009B5061" w:rsidRPr="00FE3708" w:rsidRDefault="009B5061" w:rsidP="009B5061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FE3708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النح</w:t>
      </w:r>
      <w:r w:rsidRPr="00FE3708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ت</w:t>
      </w:r>
      <w:r w:rsidRPr="00FE3708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:</w:t>
      </w:r>
    </w:p>
    <w:p w:rsidR="009B5061" w:rsidRDefault="009B5061" w:rsidP="009B5061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تميز النح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ت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بالضخامة خصوصا التما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يل المحيطة بالمعابد الى جانب 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ت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ما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يل بالحجم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ألطبيعي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الاهتمام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بتع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بير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الوجه والليونة في </w:t>
      </w:r>
      <w:proofErr w:type="spellStart"/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ألخطوط</w:t>
      </w:r>
      <w:proofErr w:type="spellEnd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خروج التما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يل عن تقاليد النح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ت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القديمة حيث ظهر الصدق في التعبير واخدت التما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يل حقيقتها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ألطبيعية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إ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لا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نها ت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رت بالتقاليد وقيود النحت القديمة في عهد توت خنع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امون</w:t>
      </w:r>
      <w:r w:rsidRPr="004F6A83">
        <w:rPr>
          <w:rFonts w:ascii="Traditional Arabic" w:hAnsi="Traditional Arabic" w:cs="Traditional Arabic"/>
          <w:color w:val="FF0000"/>
          <w:sz w:val="38"/>
          <w:szCs w:val="38"/>
          <w:rtl/>
          <w:lang w:bidi="ar-DZ"/>
        </w:rPr>
        <w:t xml:space="preserve"> </w:t>
      </w:r>
      <w:r w:rsidRPr="00FE3708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9"/>
      </w:r>
      <w:r w:rsidRPr="00FE3708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  <w:proofErr w:type="gramEnd"/>
      <w:r w:rsidRPr="00FE3708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(الصورة 20)</w:t>
      </w:r>
    </w:p>
    <w:p w:rsidR="009B5061" w:rsidRDefault="009B5061" w:rsidP="009B5061">
      <w:pPr>
        <w:pStyle w:val="Retraitcorpset1relig"/>
        <w:bidi/>
        <w:ind w:left="-2" w:firstLine="0"/>
        <w:jc w:val="center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noProof/>
        </w:rPr>
        <w:drawing>
          <wp:inline distT="0" distB="0" distL="0" distR="0" wp14:anchorId="69E4223F" wp14:editId="7002CA56">
            <wp:extent cx="4429125" cy="230505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61" w:rsidRDefault="009B5061" w:rsidP="009B5061">
      <w:pPr>
        <w:pStyle w:val="Retraitcorpset1relig"/>
        <w:bidi/>
        <w:ind w:left="-2" w:firstLine="0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الصورة </w:t>
      </w:r>
      <w:proofErr w:type="gramStart"/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تمتل</w:t>
      </w:r>
      <w:proofErr w:type="gramEnd"/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تماتيل</w:t>
      </w:r>
      <w:proofErr w:type="spellEnd"/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جالسة تحيط </w:t>
      </w:r>
      <w:proofErr w:type="spellStart"/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با</w:t>
      </w:r>
      <w:proofErr w:type="spellEnd"/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المعبد</w:t>
      </w:r>
    </w:p>
    <w:p w:rsidR="009B5061" w:rsidRDefault="009B5061" w:rsidP="009B5061">
      <w:pPr>
        <w:pStyle w:val="Retraitcorpset1relig"/>
        <w:bidi/>
        <w:ind w:left="-2" w:firstLine="0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</w:p>
    <w:p w:rsidR="009B5061" w:rsidRDefault="009B5061" w:rsidP="009B5061">
      <w:pPr>
        <w:pStyle w:val="Retraitcorpset1relig"/>
        <w:bidi/>
        <w:ind w:left="-2" w:firstLine="0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</w:p>
    <w:p w:rsidR="009B5061" w:rsidRDefault="009B5061" w:rsidP="009B5061">
      <w:pPr>
        <w:pStyle w:val="Retraitcorpset1relig"/>
        <w:bidi/>
        <w:ind w:left="-2" w:firstLine="0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</w:p>
    <w:p w:rsidR="009B5061" w:rsidRDefault="009B5061" w:rsidP="009B5061">
      <w:pPr>
        <w:pStyle w:val="Retraitcorpset1relig"/>
        <w:bidi/>
        <w:ind w:left="-2" w:firstLine="0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</w:p>
    <w:p w:rsidR="009B5061" w:rsidRDefault="009B5061" w:rsidP="009B5061">
      <w:pPr>
        <w:pStyle w:val="Retraitcorpset1relig"/>
        <w:bidi/>
        <w:ind w:left="-2" w:firstLine="0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</w:p>
    <w:p w:rsidR="009B5061" w:rsidRDefault="009B5061" w:rsidP="009B5061">
      <w:pPr>
        <w:pStyle w:val="Retraitcorpset1relig"/>
        <w:bidi/>
        <w:ind w:left="-2" w:firstLine="0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</w:p>
    <w:p w:rsidR="00774B2B" w:rsidRDefault="00774B2B" w:rsidP="00774B2B">
      <w:pPr>
        <w:bidi/>
        <w:rPr>
          <w:rFonts w:hint="cs"/>
          <w:lang w:bidi="ar-DZ"/>
        </w:rPr>
      </w:pPr>
    </w:p>
    <w:sectPr w:rsidR="0077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615" w:rsidRDefault="00704615" w:rsidP="00774B2B">
      <w:pPr>
        <w:spacing w:after="0" w:line="240" w:lineRule="auto"/>
      </w:pPr>
      <w:r>
        <w:separator/>
      </w:r>
    </w:p>
  </w:endnote>
  <w:endnote w:type="continuationSeparator" w:id="0">
    <w:p w:rsidR="00704615" w:rsidRDefault="00704615" w:rsidP="0077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615" w:rsidRDefault="00704615" w:rsidP="00774B2B">
      <w:pPr>
        <w:spacing w:after="0" w:line="240" w:lineRule="auto"/>
      </w:pPr>
      <w:r>
        <w:separator/>
      </w:r>
    </w:p>
  </w:footnote>
  <w:footnote w:type="continuationSeparator" w:id="0">
    <w:p w:rsidR="00704615" w:rsidRDefault="00704615" w:rsidP="00774B2B">
      <w:pPr>
        <w:spacing w:after="0" w:line="240" w:lineRule="auto"/>
      </w:pPr>
      <w:r>
        <w:continuationSeparator/>
      </w:r>
    </w:p>
  </w:footnote>
  <w:footnote w:id="1">
    <w:p w:rsidR="009B5061" w:rsidRPr="004F6A83" w:rsidRDefault="009B5061" w:rsidP="009B5061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ليلى فؤاد ابو حجلة،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خلود بدر </w:t>
      </w:r>
      <w:proofErr w:type="spell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غيت</w:t>
      </w:r>
      <w:proofErr w:type="spell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تاريخ الفن عبر العصور،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ط1،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مكتبة المجتمع العربي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الأردن </w:t>
      </w:r>
      <w:proofErr w:type="gram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2009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ص32</w:t>
      </w:r>
    </w:p>
  </w:footnote>
  <w:footnote w:id="2">
    <w:p w:rsidR="009B5061" w:rsidRPr="004F6A83" w:rsidRDefault="009B5061" w:rsidP="009B5061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ليلى فؤاد،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المرجع السابق ص36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3">
    <w:p w:rsidR="009B5061" w:rsidRPr="004F6A83" w:rsidRDefault="009B5061" w:rsidP="009B5061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فداء حسين ابو دبسة،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خلود بدر </w:t>
      </w:r>
      <w:proofErr w:type="spell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غيت</w:t>
      </w:r>
      <w:proofErr w:type="spell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تاريخ الفن عبر العصور،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ط1،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مكتبة المجتمع العربي،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2009،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الاردن،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ص43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4">
    <w:p w:rsidR="009B5061" w:rsidRPr="004F6A83" w:rsidRDefault="009B5061" w:rsidP="009B5061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ليلى فؤاد،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المرجع السابق ص45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5">
    <w:p w:rsidR="009B5061" w:rsidRPr="004F6A83" w:rsidRDefault="009B5061" w:rsidP="009B5061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فداء حسين ابو دبسة،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المرجع </w:t>
      </w:r>
      <w:proofErr w:type="gram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السابق،،</w:t>
      </w:r>
      <w:proofErr w:type="gram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ص38</w:t>
      </w:r>
    </w:p>
  </w:footnote>
  <w:footnote w:id="6">
    <w:p w:rsidR="009B5061" w:rsidRPr="004F6A83" w:rsidRDefault="009B5061" w:rsidP="009B5061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ليلى فؤاد،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المرجع السابق،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ص47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7">
    <w:p w:rsidR="009B5061" w:rsidRPr="004F6A83" w:rsidRDefault="009B5061" w:rsidP="009B5061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المرجع </w:t>
      </w:r>
      <w:r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ص48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8">
    <w:p w:rsidR="009B5061" w:rsidRPr="004F6A83" w:rsidRDefault="009B5061" w:rsidP="009B5061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ليلى فؤاد،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المرجع السابق،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ص62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9">
    <w:p w:rsidR="009B5061" w:rsidRPr="004F6A83" w:rsidRDefault="009B5061" w:rsidP="009B5061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المرجع </w:t>
      </w:r>
      <w:r>
        <w:rPr>
          <w:rFonts w:ascii="Traditional Arabic" w:hAnsi="Traditional Arabic" w:cs="Traditional Arabic" w:hint="cs"/>
          <w:sz w:val="28"/>
          <w:szCs w:val="28"/>
          <w:rtl/>
        </w:rPr>
        <w:t>السابق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ص59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2968EAC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7B014A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329E42C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DZ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B"/>
    <w:rsid w:val="000900C9"/>
    <w:rsid w:val="00704615"/>
    <w:rsid w:val="00774B2B"/>
    <w:rsid w:val="009B5061"/>
    <w:rsid w:val="00D0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160E9-DF91-4BC9-A5FD-42E864EB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4B2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4B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774B2B"/>
    <w:pPr>
      <w:spacing w:after="120" w:line="276" w:lineRule="auto"/>
      <w:ind w:left="283"/>
    </w:pPr>
    <w:rPr>
      <w:rFonts w:eastAsiaTheme="minorEastAsia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774B2B"/>
    <w:rPr>
      <w:rFonts w:eastAsiaTheme="minorEastAsia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774B2B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774B2B"/>
    <w:rPr>
      <w:rFonts w:eastAsiaTheme="minorEastAsia"/>
      <w:lang w:eastAsia="fr-FR"/>
    </w:rPr>
  </w:style>
  <w:style w:type="paragraph" w:styleId="Listepuces">
    <w:name w:val="List Bullet"/>
    <w:basedOn w:val="Normal"/>
    <w:uiPriority w:val="99"/>
    <w:unhideWhenUsed/>
    <w:rsid w:val="00774B2B"/>
    <w:pPr>
      <w:numPr>
        <w:numId w:val="1"/>
      </w:numPr>
      <w:tabs>
        <w:tab w:val="num" w:pos="501"/>
      </w:tabs>
      <w:spacing w:after="200" w:line="276" w:lineRule="auto"/>
      <w:contextualSpacing/>
    </w:pPr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774B2B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74B2B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74B2B"/>
    <w:rPr>
      <w:vertAlign w:val="superscript"/>
    </w:rPr>
  </w:style>
  <w:style w:type="paragraph" w:styleId="Listepuces2">
    <w:name w:val="List Bullet 2"/>
    <w:basedOn w:val="Normal"/>
    <w:uiPriority w:val="99"/>
    <w:unhideWhenUsed/>
    <w:rsid w:val="00774B2B"/>
    <w:pPr>
      <w:numPr>
        <w:numId w:val="2"/>
      </w:numPr>
      <w:spacing w:after="200" w:line="276" w:lineRule="auto"/>
      <w:contextualSpacing/>
    </w:pPr>
    <w:rPr>
      <w:rFonts w:eastAsiaTheme="minorEastAsia"/>
      <w:lang w:eastAsia="fr-FR"/>
    </w:rPr>
  </w:style>
  <w:style w:type="paragraph" w:styleId="Listepuces3">
    <w:name w:val="List Bullet 3"/>
    <w:basedOn w:val="Normal"/>
    <w:uiPriority w:val="99"/>
    <w:unhideWhenUsed/>
    <w:rsid w:val="009B5061"/>
    <w:pPr>
      <w:numPr>
        <w:numId w:val="3"/>
      </w:numPr>
      <w:spacing w:after="200" w:line="276" w:lineRule="auto"/>
      <w:contextualSpacing/>
    </w:pPr>
    <w:rPr>
      <w:rFonts w:eastAsiaTheme="minorEastAsia"/>
      <w:lang w:eastAsia="fr-FR"/>
    </w:rPr>
  </w:style>
  <w:style w:type="paragraph" w:styleId="Listecontinue3">
    <w:name w:val="List Continue 3"/>
    <w:basedOn w:val="Normal"/>
    <w:uiPriority w:val="99"/>
    <w:unhideWhenUsed/>
    <w:rsid w:val="009B5061"/>
    <w:pPr>
      <w:spacing w:after="120" w:line="276" w:lineRule="auto"/>
      <w:ind w:left="849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2025-03-10T14:01:00Z</dcterms:created>
  <dcterms:modified xsi:type="dcterms:W3CDTF">2025-03-10T14:01:00Z</dcterms:modified>
</cp:coreProperties>
</file>