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89" w:rsidRDefault="00E97589" w:rsidP="00E97589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bookmarkStart w:id="0" w:name="_GoBack"/>
    </w:p>
    <w:p w:rsidR="00E97589" w:rsidRDefault="00E97589" w:rsidP="00E97589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الموضوع:العمارة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السومرية</w:t>
      </w:r>
    </w:p>
    <w:p w:rsidR="00E97589" w:rsidRPr="001C2819" w:rsidRDefault="00E97589" w:rsidP="00E97589">
      <w:pPr>
        <w:pStyle w:val="Retraitcorpset1relig"/>
        <w:bidi/>
        <w:ind w:left="-2" w:firstLine="0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فنون بلاد الرافدين</w:t>
      </w:r>
      <w:r w:rsidRPr="001C2819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: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يعتبر الموقع الجغرافي من العوامل المهمة والمؤ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رة في طبيعة الانتاج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ألحضاري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لك لما يتميز به من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مكانية الاتصال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قوام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والشعوب المجاورة وما يوجد به من طرق تربطه بالعالم الخارجي المحيط به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ومدى نصيبه من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روات الطبيعية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بالنسبة للموقع الجغرافي للعراق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يقع  ضمن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منطقة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لتقاء قارات العالم القديم افريقيا واسيا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وأور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يعتبر من اهم مناطق اسيا الغربية التي تشبه بلاد وادي النيل كما تتشكل المنطقة من  سهل متطاول ينحدر  تدريجيا من الشمال الى الجنوب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1"/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E97589" w:rsidRPr="004F6A83" w:rsidRDefault="00E97589" w:rsidP="00E97589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2-</w:t>
      </w:r>
      <w:r w:rsidRPr="001C2819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1-الدين والمعتقد عند السكان ما بين النهرين: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</w:p>
    <w:p w:rsidR="00E97589" w:rsidRPr="004F6A83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اتسمت ديانة الرافدين بمبد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ألحيوية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وهي الاعتقاد بوجود روح في جميع  الظواهر  الطبيعية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فالإلهة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في الاصل ماهي  الا تجسيم 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وتمثيل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للظواهر  الطبيعية المختلفة وان الحياة نفسها  قوة اد ان  هده القوى 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استحوذت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على فكر الانسان  ودفعته  الى محاولة تبديل  هدا  الشعور الغامض  تجاه القوى  الخارقة 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فكرة واضحة  اي ان  كل ظاهرة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تمثل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شيئا  حيا له شخصيته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وإرادته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فأطلق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على قوى  الطبيعة  متل السماء ،الشمس القمر،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النجوم، اسماء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ملائمة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لأفعال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البشر ،تم جعل لها  ارواحا مقدسة  لها كيانها  ،من ابرز الالهة الاله انو الاه السماء ،الاله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انليل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اله الهواء ،انكي اله المياه الجوفية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2"/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lastRenderedPageBreak/>
        <w:t>أ</w:t>
      </w:r>
      <w:r w:rsidRPr="001C2819">
        <w:rPr>
          <w:rFonts w:ascii="Traditional Arabic" w:hAnsi="Traditional Arabic" w:cs="Traditional Arabic"/>
          <w:sz w:val="38"/>
          <w:szCs w:val="38"/>
          <w:rtl/>
          <w:lang w:bidi="ar-DZ"/>
        </w:rPr>
        <w:t>هم الدول التي ظهرت في العراق:</w:t>
      </w:r>
    </w:p>
    <w:p w:rsidR="00E97589" w:rsidRDefault="00E97589" w:rsidP="00E97589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</w:p>
    <w:p w:rsidR="00E97589" w:rsidRPr="004F6A83" w:rsidRDefault="00E97589" w:rsidP="00E97589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1C2819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1-الدولة السومرية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: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يعد السومريون من اقدم الشعوب في تاريخ وادي الرافدين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التي استطاعت وضع اللبنات الاولى للحضارة في القسم الجنوبي من العراق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ألقديم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 عرف ببلاد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سومر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وفي بداية العصر السومري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تبدأ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العصور التاريخية في ارض العراق ودلك في الالف الرابع ق 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ادا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خ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 تتوافد الى ه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 الجزء شعوب سميت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بالسومريون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وراحت تسكنه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في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مطلع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لف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ة قبل الميلاد </w:t>
      </w:r>
      <w:proofErr w:type="gram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شرع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السومريون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عند نهري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الدجلة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والفرات بخلق نوع جديد من المجتمع وهو مجتمع المدنيات الاقليمية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3"/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E97589" w:rsidRPr="004F6A83" w:rsidRDefault="00E97589" w:rsidP="00E97589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*</w:t>
      </w:r>
      <w:r w:rsidRPr="001C2819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فن العمارة:</w:t>
      </w:r>
    </w:p>
    <w:p w:rsidR="00E97589" w:rsidRPr="004F6A83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اعتمد البناء على الطين المجفف و التبن وكلاهما اصل صناعة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جر،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نظرا لهشاشة مادة البناء عرضت المقابر و المعابد و القصور للاندثار كما ادت الفي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ضا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نات المتعاقبة الى تهدم العمائر فعمدو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لى البناء على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انقاضه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4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  <w:proofErr w:type="gramEnd"/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الابنية الدينية تعددت الابنية الدينية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منها المقابر والمعابد اد عرفت هده الاخيرة باسم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الزقورة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قدمها ما بناه السومريون واشهرها برج بابل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رقم25)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حيت عبد الاله نبو وتصميم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الزقورة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في الاصل من خمس طبقات متدرجة يعلوها المعبد ليكون قريبا من السماء فيسهل الاتصال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بالالهة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اما الاشوريون فقد جعلوا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الزقورة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من سبع طبقات حتى يكون المعبد في مكان مرتفع وهو بمثابة مرصد تراقب منه الكواكب و النجوم نظرا لما لعلم الفلك من اهمية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وتاتير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في الحياة اليومية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lastRenderedPageBreak/>
        <w:t xml:space="preserve">والدينية وللوصول الى الطبقات العليا من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الزقورة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اقيم درج ضخم مواجه  يلتقي  بدرجين جانبيين عند الطبقة الثانية من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الزقورة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اما الاشوريون فقد اتبعوا في الوصول الى اعلاها طريقة نادرا ما استعملت وهي اقامة درج لولبي يلتف حولها اما المقابر فكانت تحت الارض تحتوي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بالاضافة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الى جثة الميت على كل 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هو بحاجة اليه كتمثال شديد الشبه به ليكسب استمرار رضى الالهة وانية ومقتنيات ثمينة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5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E97589" w:rsidRDefault="00E97589" w:rsidP="00E97589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/>
          <w:noProof/>
          <w:sz w:val="38"/>
          <w:szCs w:val="38"/>
          <w:rtl/>
        </w:rPr>
        <w:drawing>
          <wp:inline distT="0" distB="0" distL="0" distR="0" wp14:anchorId="43102E9C" wp14:editId="5ED8E81E">
            <wp:extent cx="2144395" cy="2144395"/>
            <wp:effectExtent l="19050" t="0" r="8255" b="0"/>
            <wp:docPr id="68" name="Image 3" descr="H:\na\IMAG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na\IMAGE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89" w:rsidRPr="0059290E" w:rsidRDefault="00E97589" w:rsidP="00E97589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برج بابل</w:t>
      </w:r>
    </w:p>
    <w:p w:rsidR="00E97589" w:rsidRPr="004F6A83" w:rsidRDefault="00E97589" w:rsidP="00E97589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C80BDB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المعابد:</w:t>
      </w:r>
    </w:p>
    <w:p w:rsidR="00E97589" w:rsidRPr="004F6A83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المعابد السومرية اماكن مشتركة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للالهة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والكهنة معا،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البيوت الارضية للإلهة والكهنة في هده البيوت بمثابة خدام للإلهة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يؤدون الطقوس والشعائر ويوفرون لهم جميع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المتطلبات .</w:t>
      </w:r>
      <w:proofErr w:type="gramEnd"/>
    </w:p>
    <w:p w:rsidR="00E97589" w:rsidRDefault="00E97589" w:rsidP="00E97589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تنقسم المعابد السومرية الى انواع منها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6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:</w:t>
      </w:r>
    </w:p>
    <w:p w:rsidR="00E97589" w:rsidRDefault="00E97589" w:rsidP="00E97589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E97589" w:rsidRPr="004F6A83" w:rsidRDefault="00E97589" w:rsidP="00E97589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E97589" w:rsidRPr="0059290E" w:rsidRDefault="00E97589" w:rsidP="00E97589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المعابد البسيطة: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هي المعابد التي تؤرخ ما بين 5000-3500ق.م تتكون من مرافق بسيطة للغاية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تتجسد في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الرواق والمكان المقدس وقدس الاقداس ونماذجها واضحة في معابد </w:t>
      </w:r>
      <w:proofErr w:type="spellStart"/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اريدو</w:t>
      </w:r>
      <w:proofErr w:type="spellEnd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</w:t>
      </w:r>
      <w:proofErr w:type="gramEnd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شكل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رقم26)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E97589" w:rsidRDefault="00E97589" w:rsidP="00E97589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424DB1BF" wp14:editId="39A8C6FA">
            <wp:extent cx="2095500" cy="27432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589" w:rsidRPr="0059290E" w:rsidRDefault="00E97589" w:rsidP="00E97589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الشكل يمثل تخطيط معابد </w:t>
      </w:r>
      <w:proofErr w:type="spellStart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اوريدو</w:t>
      </w:r>
      <w:proofErr w:type="spellEnd"/>
    </w:p>
    <w:p w:rsidR="00E97589" w:rsidRPr="0059290E" w:rsidRDefault="00E97589" w:rsidP="00E97589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المعابد ذات </w:t>
      </w:r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</w:t>
      </w:r>
      <w:r w:rsidRPr="0059290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مصطبة: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ينحصر اغلبها فيما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بين3500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-3000ق.م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تطورت مرفقاتها وصار بال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مكان معرفة الالهة المخصصة لها ومنها معابد انانا في الوركاء و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اريدو</w:t>
      </w:r>
      <w:proofErr w:type="spellEnd"/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7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E97589" w:rsidRPr="0059290E" w:rsidRDefault="00E97589" w:rsidP="00E97589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المعابد ذات المصطبة و الاشكال </w:t>
      </w:r>
      <w:proofErr w:type="gramStart"/>
      <w:r w:rsidRPr="0059290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المختلفة :</w:t>
      </w:r>
      <w:proofErr w:type="gramEnd"/>
    </w:p>
    <w:p w:rsidR="00E97589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ظ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هرت في مرحلة دول المدن لسومرية 3000-2470ق.م امتازت بظهور اشكال هندسية مختلفة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كالبيضاو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والدائري والمربع والمستطيل مثل معبد عشتار في اشور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رقم27)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E97589" w:rsidRPr="004F6A83" w:rsidRDefault="00E97589" w:rsidP="00E97589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1AE62F74" wp14:editId="0BB72553">
            <wp:extent cx="2438400" cy="187642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589" w:rsidRPr="0059290E" w:rsidRDefault="00E97589" w:rsidP="00E97589">
      <w:pPr>
        <w:pStyle w:val="Listepuces2"/>
        <w:numPr>
          <w:ilvl w:val="0"/>
          <w:numId w:val="0"/>
        </w:numPr>
        <w:bidi/>
        <w:ind w:left="-2"/>
        <w:jc w:val="center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صورة لمعبد عشتار في المدينة السفلى</w:t>
      </w:r>
    </w:p>
    <w:p w:rsidR="00E97589" w:rsidRPr="0042768B" w:rsidRDefault="00E97589" w:rsidP="00E97589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proofErr w:type="spellStart"/>
      <w:r w:rsidRPr="0042768B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الزاقورات</w:t>
      </w:r>
      <w:proofErr w:type="spellEnd"/>
      <w:r w:rsidRPr="0042768B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:</w:t>
      </w:r>
    </w:p>
    <w:p w:rsidR="00E97589" w:rsidRPr="004F6A83" w:rsidRDefault="00E97589" w:rsidP="00E97589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b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اعتقد سكان بلاد الرافدين ان معظم الالهة تسكن السماء ومنها من ينزل من العالم العلوي الى العالم السفلي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لدا </w:t>
      </w:r>
      <w:r w:rsidRPr="004F6A83"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شيدو</w:t>
      </w:r>
      <w:r w:rsidRPr="004F6A83">
        <w:rPr>
          <w:rFonts w:ascii="Traditional Arabic" w:hAnsi="Traditional Arabic" w:cs="Traditional Arabic" w:hint="eastAsia"/>
          <w:b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</w:t>
      </w:r>
      <w:proofErr w:type="spellStart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الزيقورات</w:t>
      </w:r>
      <w:proofErr w:type="spellEnd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وهي عبارة عن صرح شاهق الارتفاع مؤلف من 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لا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ة الى سبع طبقات او </w:t>
      </w:r>
      <w:proofErr w:type="spellStart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مصطبات</w:t>
      </w:r>
      <w:proofErr w:type="spellEnd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تتناقص مساحتها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قاعدتها مربعة او مستطيلة</w:t>
      </w:r>
      <w:r w:rsidRPr="004F6A83">
        <w:rPr>
          <w:rStyle w:val="Appelnotedebasdep"/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footnoteReference w:id="8"/>
      </w:r>
    </w:p>
    <w:p w:rsidR="00E97589" w:rsidRDefault="00E97589" w:rsidP="00E97589">
      <w:pPr>
        <w:bidi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شيدت على شكل طبقات بين3-7طبقات يربط بين كل طبقتين مدرج البعض منها تنتهي بغرفة مخصصة لل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له دلك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ألمعبد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خصصت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اور لعبادة الاه القمر-نانا-وهي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الاكتر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شهرة ومقاومة وصمودا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مام الزمن فأطلالها مازالت شامخة،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بنيت المعابد في مركز المدينة اد خصصت للممارسات الدينية والدنيوية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محاكمات،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اماكن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للشفاء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التعليم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9"/>
      </w:r>
      <w:r w:rsidRPr="004F6A83">
        <w:rPr>
          <w:rFonts w:ascii="Traditional Arabic" w:hAnsi="Traditional Arabic" w:cs="Traditional Arabic"/>
          <w:sz w:val="38"/>
          <w:szCs w:val="38"/>
          <w:lang w:bidi="ar-DZ"/>
        </w:rPr>
        <w:t>.</w:t>
      </w:r>
      <w:proofErr w:type="gramEnd"/>
    </w:p>
    <w:bookmarkEnd w:id="0"/>
    <w:p w:rsidR="00E97589" w:rsidRDefault="00E97589" w:rsidP="00E97589">
      <w:pPr>
        <w:bidi/>
        <w:rPr>
          <w:rFonts w:hint="cs"/>
          <w:lang w:bidi="ar-DZ"/>
        </w:rPr>
      </w:pPr>
    </w:p>
    <w:sectPr w:rsidR="00E9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7A" w:rsidRDefault="00C6317A" w:rsidP="00774B2B">
      <w:pPr>
        <w:spacing w:after="0" w:line="240" w:lineRule="auto"/>
      </w:pPr>
      <w:r>
        <w:separator/>
      </w:r>
    </w:p>
  </w:endnote>
  <w:endnote w:type="continuationSeparator" w:id="0">
    <w:p w:rsidR="00C6317A" w:rsidRDefault="00C6317A" w:rsidP="0077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7A" w:rsidRDefault="00C6317A" w:rsidP="00774B2B">
      <w:pPr>
        <w:spacing w:after="0" w:line="240" w:lineRule="auto"/>
      </w:pPr>
      <w:r>
        <w:separator/>
      </w:r>
    </w:p>
  </w:footnote>
  <w:footnote w:type="continuationSeparator" w:id="0">
    <w:p w:rsidR="00C6317A" w:rsidRDefault="00C6317A" w:rsidP="00774B2B">
      <w:pPr>
        <w:spacing w:after="0" w:line="240" w:lineRule="auto"/>
      </w:pPr>
      <w:r>
        <w:continuationSeparator/>
      </w:r>
    </w:p>
  </w:footnote>
  <w:footnote w:id="1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محمد 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محفل ،تاريخ</w:t>
      </w:r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العمارة، ديوان المطبوعات الجامعية الجزائر ص83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2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عمار ابراهيم صالح، الحياة الدينية في بلاد وادي الرافدين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وت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تيرها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على العمارة 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و الفنون3500</w:t>
      </w:r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-539 ق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مرسالة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ماجستير ال</w:t>
      </w:r>
      <w:r>
        <w:rPr>
          <w:rFonts w:ascii="Traditional Arabic" w:hAnsi="Traditional Arabic" w:cs="Traditional Arabic" w:hint="cs"/>
          <w:sz w:val="28"/>
          <w:szCs w:val="28"/>
          <w:rtl/>
        </w:rPr>
        <w:t>آ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داب في التاريخ قسم الجغرافية والتاريخ،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كلية التربية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حصاحيصا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جامعة الجزيرة،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بغداد 2003،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ص100-101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3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عمار ابراهيم صالح،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 ص43-44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لبيب عبد الستار،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الحضارات،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دار المشرق،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ط16 لبنان 2003 ص44</w:t>
      </w:r>
    </w:p>
  </w:footnote>
  <w:footnote w:id="5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لبيب عبد الستار،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الحضارات،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دار المشرق،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ط16،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لبنان،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2003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ص44-46</w:t>
      </w:r>
    </w:p>
  </w:footnote>
  <w:footnote w:id="6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خزعل الماجدي،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الدين السومري،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دار 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الشروق1998</w:t>
      </w:r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عمان،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ص36</w:t>
      </w:r>
    </w:p>
  </w:footnote>
  <w:footnote w:id="7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المرجع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السابق.</w:t>
      </w:r>
    </w:p>
  </w:footnote>
  <w:footnote w:id="8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عمار ابراهيم صالح،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ص116-117</w:t>
      </w:r>
    </w:p>
  </w:footnote>
  <w:footnote w:id="9">
    <w:p w:rsidR="00E97589" w:rsidRPr="004F6A83" w:rsidRDefault="00E97589" w:rsidP="00E97589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خزعل الماجدي،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ص37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2968EAC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7B014A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29E42C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D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B"/>
    <w:rsid w:val="000900C9"/>
    <w:rsid w:val="00774B2B"/>
    <w:rsid w:val="009B5061"/>
    <w:rsid w:val="00C6317A"/>
    <w:rsid w:val="00D055E5"/>
    <w:rsid w:val="00E9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60E9-DF91-4BC9-A5FD-42E864EB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B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B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774B2B"/>
    <w:pPr>
      <w:spacing w:after="120" w:line="276" w:lineRule="auto"/>
      <w:ind w:left="283"/>
    </w:pPr>
    <w:rPr>
      <w:rFonts w:eastAsiaTheme="minorEastAsia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74B2B"/>
    <w:rPr>
      <w:rFonts w:eastAsiaTheme="minorEastAsia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774B2B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774B2B"/>
    <w:rPr>
      <w:rFonts w:eastAsiaTheme="minorEastAsia"/>
      <w:lang w:eastAsia="fr-FR"/>
    </w:rPr>
  </w:style>
  <w:style w:type="paragraph" w:styleId="Listepuces">
    <w:name w:val="List Bullet"/>
    <w:basedOn w:val="Normal"/>
    <w:uiPriority w:val="99"/>
    <w:unhideWhenUsed/>
    <w:rsid w:val="00774B2B"/>
    <w:pPr>
      <w:numPr>
        <w:numId w:val="1"/>
      </w:numPr>
      <w:tabs>
        <w:tab w:val="num" w:pos="501"/>
      </w:tabs>
      <w:spacing w:after="200" w:line="276" w:lineRule="auto"/>
      <w:contextualSpacing/>
    </w:pPr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74B2B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74B2B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74B2B"/>
    <w:rPr>
      <w:vertAlign w:val="superscript"/>
    </w:rPr>
  </w:style>
  <w:style w:type="paragraph" w:styleId="Listepuces2">
    <w:name w:val="List Bullet 2"/>
    <w:basedOn w:val="Normal"/>
    <w:uiPriority w:val="99"/>
    <w:unhideWhenUsed/>
    <w:rsid w:val="00774B2B"/>
    <w:pPr>
      <w:numPr>
        <w:numId w:val="2"/>
      </w:numPr>
      <w:spacing w:after="200" w:line="276" w:lineRule="auto"/>
      <w:contextualSpacing/>
    </w:pPr>
    <w:rPr>
      <w:rFonts w:eastAsiaTheme="minorEastAsia"/>
      <w:lang w:eastAsia="fr-FR"/>
    </w:rPr>
  </w:style>
  <w:style w:type="paragraph" w:styleId="Listepuces3">
    <w:name w:val="List Bullet 3"/>
    <w:basedOn w:val="Normal"/>
    <w:uiPriority w:val="99"/>
    <w:unhideWhenUsed/>
    <w:rsid w:val="009B5061"/>
    <w:pPr>
      <w:numPr>
        <w:numId w:val="3"/>
      </w:numPr>
      <w:spacing w:after="200" w:line="276" w:lineRule="auto"/>
      <w:contextualSpacing/>
    </w:pPr>
    <w:rPr>
      <w:rFonts w:eastAsiaTheme="minorEastAsia"/>
      <w:lang w:eastAsia="fr-FR"/>
    </w:rPr>
  </w:style>
  <w:style w:type="paragraph" w:styleId="Listecontinue3">
    <w:name w:val="List Continue 3"/>
    <w:basedOn w:val="Normal"/>
    <w:uiPriority w:val="99"/>
    <w:unhideWhenUsed/>
    <w:rsid w:val="009B5061"/>
    <w:pPr>
      <w:spacing w:after="120" w:line="276" w:lineRule="auto"/>
      <w:ind w:left="849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2025-03-10T14:08:00Z</dcterms:created>
  <dcterms:modified xsi:type="dcterms:W3CDTF">2025-03-10T14:08:00Z</dcterms:modified>
</cp:coreProperties>
</file>