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F31" w:rsidRDefault="00037F31" w:rsidP="00037F31">
      <w:pPr>
        <w:pStyle w:val="whitespace-pre-wrap"/>
        <w:jc w:val="center"/>
      </w:pPr>
      <w:r>
        <w:rPr>
          <w:rStyle w:val="lev"/>
        </w:rPr>
        <w:t>FACULTÉ DES SCIENCES SOCIALES ET HUMAINES</w:t>
      </w:r>
    </w:p>
    <w:p w:rsidR="00037F31" w:rsidRDefault="00037F31" w:rsidP="00037F31">
      <w:pPr>
        <w:pStyle w:val="whitespace-pre-wrap"/>
        <w:jc w:val="center"/>
      </w:pPr>
      <w:r>
        <w:rPr>
          <w:rStyle w:val="lev"/>
        </w:rPr>
        <w:t>DÉPARTEMENT DE PSYCHOLOGIE</w:t>
      </w:r>
    </w:p>
    <w:p w:rsidR="00037F31" w:rsidRDefault="00037F31" w:rsidP="00037F31">
      <w:pPr>
        <w:pStyle w:val="whitespace-pre-wrap"/>
        <w:jc w:val="center"/>
      </w:pPr>
      <w:r>
        <w:t xml:space="preserve">Année universitaire : 2024/2025 </w:t>
      </w:r>
    </w:p>
    <w:p w:rsidR="00037F31" w:rsidRDefault="00037F31" w:rsidP="00037F31">
      <w:pPr>
        <w:pStyle w:val="whitespace-pre-wrap"/>
      </w:pPr>
      <w:r>
        <w:t>Niveau : Première année Licence - Semestre 1</w:t>
      </w:r>
    </w:p>
    <w:p w:rsidR="00037F31" w:rsidRDefault="00037F31" w:rsidP="00037F31">
      <w:pPr>
        <w:pStyle w:val="whitespace-pre-wrap"/>
      </w:pPr>
      <w:r>
        <w:rPr>
          <w:rStyle w:val="lev"/>
        </w:rPr>
        <w:t>Spécialité :</w:t>
      </w:r>
      <w:r>
        <w:t xml:space="preserve"> Psychologie médicale</w:t>
      </w:r>
    </w:p>
    <w:p w:rsidR="00037F31" w:rsidRDefault="00037F31" w:rsidP="00037F31">
      <w:pPr>
        <w:pStyle w:val="whitespace-pre-wrap"/>
      </w:pPr>
      <w:r>
        <w:t xml:space="preserve"> </w:t>
      </w:r>
      <w:r>
        <w:rPr>
          <w:rStyle w:val="lev"/>
        </w:rPr>
        <w:t>Matière :</w:t>
      </w:r>
      <w:r>
        <w:t xml:space="preserve"> Psychothérapie I </w:t>
      </w:r>
    </w:p>
    <w:p w:rsidR="00037F31" w:rsidRDefault="00037F31" w:rsidP="00037F31">
      <w:pPr>
        <w:pStyle w:val="whitespace-pre-wrap"/>
      </w:pPr>
      <w:r>
        <w:rPr>
          <w:rStyle w:val="lev"/>
        </w:rPr>
        <w:t>Unité :</w:t>
      </w:r>
      <w:r>
        <w:t xml:space="preserve"> Fondamentale </w:t>
      </w:r>
      <w:r>
        <w:rPr>
          <w:rStyle w:val="lev"/>
        </w:rPr>
        <w:t>Coefficient :</w:t>
      </w:r>
      <w:r>
        <w:t xml:space="preserve"> 2 </w:t>
      </w:r>
      <w:r>
        <w:rPr>
          <w:rStyle w:val="lev"/>
        </w:rPr>
        <w:t>Volume horaire :</w:t>
      </w:r>
      <w:r>
        <w:t xml:space="preserve"> 1h30/semaine</w:t>
      </w:r>
    </w:p>
    <w:p w:rsidR="00037F31" w:rsidRDefault="00037F31" w:rsidP="00037F31">
      <w:pPr>
        <w:pStyle w:val="whitespace-pre-wrap"/>
      </w:pPr>
      <w:r>
        <w:rPr>
          <w:rStyle w:val="lev"/>
        </w:rPr>
        <w:t>Enseignante :</w:t>
      </w:r>
      <w:r>
        <w:t xml:space="preserve"> Mme RAHMOUN </w:t>
      </w:r>
      <w:proofErr w:type="spellStart"/>
      <w:r>
        <w:t>Imen</w:t>
      </w:r>
      <w:proofErr w:type="spellEnd"/>
    </w:p>
    <w:p w:rsidR="00B31A11" w:rsidRDefault="00037F31" w:rsidP="00037F31">
      <w:pPr>
        <w:pStyle w:val="whitespace-pre-wrap"/>
      </w:pPr>
      <w:r w:rsidRPr="00037F31">
        <w:rPr>
          <w:b/>
          <w:bCs/>
          <w:sz w:val="32"/>
          <w:szCs w:val="32"/>
        </w:rPr>
        <w:t>Cour 2</w:t>
      </w:r>
      <w:r w:rsidRPr="00CC7C96">
        <w:rPr>
          <w:b/>
          <w:bCs/>
          <w:sz w:val="36"/>
          <w:szCs w:val="36"/>
        </w:rPr>
        <w:t xml:space="preserve"> : </w:t>
      </w:r>
      <w:r w:rsidRPr="00037F31">
        <w:rPr>
          <w:b/>
          <w:bCs/>
        </w:rPr>
        <w:t>"</w:t>
      </w:r>
      <w:r w:rsidRPr="00037F31">
        <w:t>L'Alliance thérapeutique : Du contrat à l'acte dans la relation soignant-soigné"</w:t>
      </w:r>
    </w:p>
    <w:p w:rsidR="007101E6" w:rsidRDefault="007101E6" w:rsidP="007101E6">
      <w:pPr>
        <w:pStyle w:val="whitespace-pre-wrap"/>
        <w:jc w:val="center"/>
      </w:pPr>
      <w:r>
        <w:rPr>
          <w:noProof/>
        </w:rPr>
        <w:drawing>
          <wp:inline distT="0" distB="0" distL="0" distR="0">
            <wp:extent cx="4968240" cy="2444268"/>
            <wp:effectExtent l="19050" t="0" r="381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
                    <a:srcRect/>
                    <a:stretch>
                      <a:fillRect/>
                    </a:stretch>
                  </pic:blipFill>
                  <pic:spPr bwMode="auto">
                    <a:xfrm>
                      <a:off x="0" y="0"/>
                      <a:ext cx="4981101" cy="2450595"/>
                    </a:xfrm>
                    <a:prstGeom prst="rect">
                      <a:avLst/>
                    </a:prstGeom>
                    <a:noFill/>
                    <a:ln w="9525">
                      <a:noFill/>
                      <a:miter lim="800000"/>
                      <a:headEnd/>
                      <a:tailEnd/>
                    </a:ln>
                  </pic:spPr>
                </pic:pic>
              </a:graphicData>
            </a:graphic>
          </wp:inline>
        </w:drawing>
      </w:r>
    </w:p>
    <w:p w:rsidR="00D15802" w:rsidRDefault="00D15802" w:rsidP="00D15802">
      <w:pPr>
        <w:pStyle w:val="whitespace-pre-wrap"/>
        <w:numPr>
          <w:ilvl w:val="0"/>
          <w:numId w:val="1"/>
        </w:numPr>
      </w:pPr>
      <w:r w:rsidRPr="00037F31">
        <w:t>L'Alliance thérapeutique</w:t>
      </w:r>
    </w:p>
    <w:p w:rsidR="00243C7A" w:rsidRDefault="00243C7A" w:rsidP="00243C7A">
      <w:pPr>
        <w:pStyle w:val="whitespace-pre-wrap"/>
        <w:rPr>
          <w:rFonts w:ascii="Poppins" w:hAnsi="Poppins"/>
          <w:color w:val="000000"/>
          <w:sz w:val="20"/>
          <w:szCs w:val="20"/>
          <w:shd w:val="clear" w:color="auto" w:fill="FFFFFF"/>
        </w:rPr>
      </w:pPr>
      <w:r>
        <w:rPr>
          <w:rFonts w:ascii="Poppins" w:hAnsi="Poppins"/>
          <w:color w:val="000000"/>
          <w:sz w:val="20"/>
          <w:szCs w:val="20"/>
          <w:shd w:val="clear" w:color="auto" w:fill="FFFFFF"/>
        </w:rPr>
        <w:t>L'alliance thérapeutique est un concept central, transcendant les différentes écoles de pensée du monde de la psychologie et les approches thérapeutiques en santé.</w:t>
      </w:r>
    </w:p>
    <w:p w:rsidR="00243C7A" w:rsidRPr="00243C7A" w:rsidRDefault="00243C7A" w:rsidP="00243C7A">
      <w:pPr>
        <w:shd w:val="clear" w:color="auto" w:fill="FFFFFF"/>
        <w:spacing w:before="100" w:beforeAutospacing="1" w:after="100" w:afterAutospacing="1" w:line="240" w:lineRule="auto"/>
        <w:outlineLvl w:val="2"/>
        <w:rPr>
          <w:rFonts w:ascii="var(--heading-font-font-family)" w:eastAsia="Times New Roman" w:hAnsi="var(--heading-font-font-family)" w:cs="Times New Roman"/>
          <w:b/>
          <w:bCs/>
          <w:sz w:val="27"/>
          <w:szCs w:val="27"/>
          <w:lang w:eastAsia="fr-FR"/>
        </w:rPr>
      </w:pPr>
      <w:r w:rsidRPr="00243C7A">
        <w:rPr>
          <w:rFonts w:ascii="var(--heading-font-font-family)" w:eastAsia="Times New Roman" w:hAnsi="var(--heading-font-font-family)" w:cs="Times New Roman"/>
          <w:b/>
          <w:bCs/>
          <w:sz w:val="27"/>
          <w:szCs w:val="27"/>
          <w:lang w:eastAsia="fr-FR"/>
        </w:rPr>
        <w:t>L'essence de l'alliance thérapeutique</w:t>
      </w:r>
    </w:p>
    <w:p w:rsidR="00953839" w:rsidRDefault="00243C7A" w:rsidP="00953839">
      <w:r w:rsidRPr="00243C7A">
        <w:rPr>
          <w:rFonts w:ascii="Poppins" w:eastAsia="Times New Roman" w:hAnsi="Poppins" w:cs="Times New Roman"/>
          <w:color w:val="000000"/>
          <w:sz w:val="20"/>
          <w:szCs w:val="20"/>
          <w:lang w:eastAsia="fr-FR"/>
        </w:rPr>
        <w:t xml:space="preserve">L'alliance thérapeutique, telle que conceptualisée par Horvath et </w:t>
      </w:r>
      <w:proofErr w:type="spellStart"/>
      <w:r w:rsidRPr="00243C7A">
        <w:rPr>
          <w:rFonts w:ascii="Poppins" w:eastAsia="Times New Roman" w:hAnsi="Poppins" w:cs="Times New Roman"/>
          <w:color w:val="000000"/>
          <w:sz w:val="20"/>
          <w:szCs w:val="20"/>
          <w:lang w:eastAsia="fr-FR"/>
        </w:rPr>
        <w:t>Luborsky</w:t>
      </w:r>
      <w:proofErr w:type="spellEnd"/>
      <w:r w:rsidRPr="00243C7A">
        <w:rPr>
          <w:rFonts w:ascii="Poppins" w:eastAsia="Times New Roman" w:hAnsi="Poppins" w:cs="Times New Roman"/>
          <w:color w:val="000000"/>
          <w:sz w:val="20"/>
          <w:szCs w:val="20"/>
          <w:lang w:eastAsia="fr-FR"/>
        </w:rPr>
        <w:t>, va au-delà d'une simple relation patient-thérapeute. Elle représente une collaboration dynamique et évolutive entre le thérapeute et le patient, centrée sur un désir commun de lutter contre la douleur et les comportements “autodestructeurs”, ou simplement défavorables, du patient.</w:t>
      </w:r>
      <w:r w:rsidR="00953839">
        <w:t xml:space="preserve"> L'Alliance Thérapeutique : Fondements, Développement et Applications</w:t>
      </w:r>
    </w:p>
    <w:p w:rsidR="00953839" w:rsidRDefault="00953839" w:rsidP="00953839">
      <w:r>
        <w:t xml:space="preserve"> I. Introduction et Contexte Historique</w:t>
      </w:r>
    </w:p>
    <w:p w:rsidR="00953839" w:rsidRDefault="00953839" w:rsidP="00953839">
      <w:r>
        <w:t>A. Émergence du concept</w:t>
      </w:r>
    </w:p>
    <w:p w:rsidR="00953839" w:rsidRDefault="00953839" w:rsidP="00953839">
      <w:r>
        <w:lastRenderedPageBreak/>
        <w:t xml:space="preserve">L'alliance thérapeutique trouve ses racines dans la psychanalyse freudienne, mais le concept tel que nous le connaissons aujourd'hui a considérablement évolué. Initialement introduit par Freud sous le terme de "transfert positif" (1912), le concept a été reformulé par </w:t>
      </w:r>
      <w:proofErr w:type="spellStart"/>
      <w:r>
        <w:t>Zetzel</w:t>
      </w:r>
      <w:proofErr w:type="spellEnd"/>
      <w:r>
        <w:t xml:space="preserve"> (1956) qui a introduit le terme "alliance thérapeutique" pour décrire la relation collaborative entre le thérapeute et le patient.</w:t>
      </w:r>
    </w:p>
    <w:p w:rsidR="00953839" w:rsidRDefault="00953839" w:rsidP="00953839">
      <w:r>
        <w:t>B. Évolution historique</w:t>
      </w:r>
    </w:p>
    <w:p w:rsidR="00953839" w:rsidRDefault="00953839" w:rsidP="00953839">
      <w:r>
        <w:t xml:space="preserve">1. </w:t>
      </w:r>
      <w:r>
        <w:t xml:space="preserve">Années </w:t>
      </w:r>
      <w:r>
        <w:t>1930-1950</w:t>
      </w:r>
      <w:r>
        <w:t xml:space="preserve"> :</w:t>
      </w:r>
    </w:p>
    <w:p w:rsidR="00953839" w:rsidRDefault="00953839" w:rsidP="00953839">
      <w:r>
        <w:t xml:space="preserve">   - Développement initial dans le cadre psychanalytique</w:t>
      </w:r>
    </w:p>
    <w:p w:rsidR="00953839" w:rsidRDefault="00953839" w:rsidP="00953839">
      <w:r>
        <w:t xml:space="preserve">   - Accent sur le transfert et la relation patient-analyste</w:t>
      </w:r>
    </w:p>
    <w:p w:rsidR="00953839" w:rsidRDefault="00953839" w:rsidP="00953839">
      <w:r>
        <w:t>2. Années 1960-1970</w:t>
      </w:r>
      <w:r>
        <w:t xml:space="preserve"> :</w:t>
      </w:r>
    </w:p>
    <w:p w:rsidR="00953839" w:rsidRDefault="00953839" w:rsidP="00953839">
      <w:r>
        <w:t xml:space="preserve">   - Élargissement du concept par </w:t>
      </w:r>
      <w:proofErr w:type="spellStart"/>
      <w:r>
        <w:t>Greenson</w:t>
      </w:r>
      <w:proofErr w:type="spellEnd"/>
      <w:r>
        <w:t xml:space="preserve"> (1965)</w:t>
      </w:r>
    </w:p>
    <w:p w:rsidR="00953839" w:rsidRDefault="00953839" w:rsidP="00953839">
      <w:r>
        <w:t xml:space="preserve">   - Introduction de la notion d'"alliance de travail"</w:t>
      </w:r>
    </w:p>
    <w:p w:rsidR="00953839" w:rsidRDefault="00953839" w:rsidP="00953839"/>
    <w:p w:rsidR="00953839" w:rsidRDefault="00953839" w:rsidP="00953839">
      <w:r>
        <w:t>3. Années 1980-présent :</w:t>
      </w:r>
    </w:p>
    <w:p w:rsidR="00953839" w:rsidRDefault="00953839" w:rsidP="00953839">
      <w:r>
        <w:t xml:space="preserve">   - Conceptualisation moderne par </w:t>
      </w:r>
      <w:proofErr w:type="spellStart"/>
      <w:r>
        <w:t>Bordin</w:t>
      </w:r>
      <w:proofErr w:type="spellEnd"/>
      <w:r>
        <w:t xml:space="preserve"> (1979)</w:t>
      </w:r>
    </w:p>
    <w:p w:rsidR="00953839" w:rsidRDefault="00953839" w:rsidP="00953839">
      <w:r>
        <w:t xml:space="preserve">   - Développement d'outils de mesure standardisés</w:t>
      </w:r>
    </w:p>
    <w:p w:rsidR="00953839" w:rsidRDefault="00953839" w:rsidP="00953839">
      <w:r>
        <w:t xml:space="preserve">   - Application </w:t>
      </w:r>
      <w:proofErr w:type="spellStart"/>
      <w:r>
        <w:t>trans</w:t>
      </w:r>
      <w:proofErr w:type="spellEnd"/>
      <w:r>
        <w:t>-théorique</w:t>
      </w:r>
    </w:p>
    <w:p w:rsidR="00953839" w:rsidRDefault="00953839" w:rsidP="00953839">
      <w:r>
        <w:t>II. Définition et Éléments Constitutifs</w:t>
      </w:r>
    </w:p>
    <w:p w:rsidR="00953839" w:rsidRDefault="00953839" w:rsidP="00953839">
      <w:r>
        <w:t>A. Définition contemporaine</w:t>
      </w:r>
    </w:p>
    <w:p w:rsidR="00953839" w:rsidRDefault="00953839" w:rsidP="00953839">
      <w:r>
        <w:t xml:space="preserve">L'alliance thérapeutique est définie comme "une collaboration interactive entre le thérapeute et le patient, caractérisée par un accord mutuel sur les objectifs thérapeutiques, les moyens pour les atteindre, et un lien affectif positif" (Horvath &amp; </w:t>
      </w:r>
      <w:proofErr w:type="spellStart"/>
      <w:r>
        <w:t>Luborsky</w:t>
      </w:r>
      <w:proofErr w:type="spellEnd"/>
      <w:r>
        <w:t>, 1993).</w:t>
      </w:r>
    </w:p>
    <w:p w:rsidR="00953839" w:rsidRDefault="00953839" w:rsidP="00953839">
      <w:r>
        <w:t xml:space="preserve">B. Composantes essentielles selon </w:t>
      </w:r>
      <w:proofErr w:type="spellStart"/>
      <w:r>
        <w:t>Bordin</w:t>
      </w:r>
      <w:proofErr w:type="spellEnd"/>
      <w:r>
        <w:t xml:space="preserve"> (1979)</w:t>
      </w:r>
    </w:p>
    <w:p w:rsidR="00953839" w:rsidRDefault="00953839" w:rsidP="00953839">
      <w:r>
        <w:t>1. Les objectifs (Goals)</w:t>
      </w:r>
    </w:p>
    <w:p w:rsidR="00953839" w:rsidRDefault="00953839" w:rsidP="00953839">
      <w:r>
        <w:t xml:space="preserve">   - Accord mutuel sur les buts de la thérapie</w:t>
      </w:r>
    </w:p>
    <w:p w:rsidR="00953839" w:rsidRDefault="00953839" w:rsidP="00953839">
      <w:r>
        <w:t xml:space="preserve">   - Clarté et réalisme des objectifs</w:t>
      </w:r>
    </w:p>
    <w:p w:rsidR="00953839" w:rsidRDefault="00953839" w:rsidP="00953839">
      <w:r>
        <w:t xml:space="preserve">   - Réévaluation périodique</w:t>
      </w:r>
    </w:p>
    <w:p w:rsidR="00953839" w:rsidRDefault="00953839" w:rsidP="00953839"/>
    <w:p w:rsidR="00953839" w:rsidRDefault="00953839" w:rsidP="00953839">
      <w:r>
        <w:t>2. Les tâches (</w:t>
      </w:r>
      <w:proofErr w:type="spellStart"/>
      <w:r>
        <w:t>Tasks</w:t>
      </w:r>
      <w:proofErr w:type="spellEnd"/>
      <w:r>
        <w:t>)</w:t>
      </w:r>
    </w:p>
    <w:p w:rsidR="00953839" w:rsidRDefault="00953839" w:rsidP="00953839">
      <w:r>
        <w:t xml:space="preserve">   - Moyens utilisés pour atteindre les objectifs</w:t>
      </w:r>
    </w:p>
    <w:p w:rsidR="00953839" w:rsidRDefault="00953839" w:rsidP="00953839">
      <w:r>
        <w:lastRenderedPageBreak/>
        <w:t xml:space="preserve">   - Pertinence des interventions</w:t>
      </w:r>
    </w:p>
    <w:p w:rsidR="00953839" w:rsidRDefault="00953839" w:rsidP="00953839">
      <w:r>
        <w:t xml:space="preserve">   - Adéquation avec les capacités du patient</w:t>
      </w:r>
    </w:p>
    <w:p w:rsidR="00953839" w:rsidRDefault="00953839" w:rsidP="00953839">
      <w:r>
        <w:t>3. Le lien (Bond)</w:t>
      </w:r>
    </w:p>
    <w:p w:rsidR="00953839" w:rsidRDefault="00953839" w:rsidP="00953839">
      <w:r>
        <w:t xml:space="preserve">   - Qualité de la relation interpersonnelle</w:t>
      </w:r>
    </w:p>
    <w:p w:rsidR="00953839" w:rsidRDefault="00953839" w:rsidP="00953839">
      <w:r>
        <w:t xml:space="preserve">   - Confiance mutuelle</w:t>
      </w:r>
    </w:p>
    <w:p w:rsidR="00953839" w:rsidRDefault="00953839" w:rsidP="00953839">
      <w:r>
        <w:t xml:space="preserve">   - Engagement réciproque</w:t>
      </w:r>
    </w:p>
    <w:p w:rsidR="00953839" w:rsidRDefault="00953839" w:rsidP="00953839">
      <w:r>
        <w:t>III. Processus de Développement de l'Alliance</w:t>
      </w:r>
    </w:p>
    <w:p w:rsidR="00953839" w:rsidRDefault="00953839" w:rsidP="00953839">
      <w:r>
        <w:t>A. Phases de développement</w:t>
      </w:r>
    </w:p>
    <w:p w:rsidR="00953839" w:rsidRDefault="00953839" w:rsidP="00953839">
      <w:r>
        <w:t>1. Phase initiale</w:t>
      </w:r>
    </w:p>
    <w:p w:rsidR="00953839" w:rsidRDefault="00953839" w:rsidP="00953839">
      <w:r>
        <w:t xml:space="preserve">   - Établissement du contact</w:t>
      </w:r>
    </w:p>
    <w:p w:rsidR="00953839" w:rsidRDefault="00953839" w:rsidP="00953839">
      <w:r>
        <w:t xml:space="preserve">   - Création du cadre thérapeutique</w:t>
      </w:r>
    </w:p>
    <w:p w:rsidR="00953839" w:rsidRDefault="00953839" w:rsidP="00953839">
      <w:r>
        <w:t xml:space="preserve">   - Évaluation des attentes mutuelles</w:t>
      </w:r>
    </w:p>
    <w:p w:rsidR="00953839" w:rsidRDefault="00953839" w:rsidP="00953839">
      <w:r>
        <w:t>2. Phase de construction</w:t>
      </w:r>
    </w:p>
    <w:p w:rsidR="00953839" w:rsidRDefault="00953839" w:rsidP="00953839">
      <w:r>
        <w:t xml:space="preserve">   - Développement de la confiance</w:t>
      </w:r>
    </w:p>
    <w:p w:rsidR="00953839" w:rsidRDefault="00953839" w:rsidP="00953839">
      <w:r>
        <w:t xml:space="preserve">   - Définition des objectifs</w:t>
      </w:r>
    </w:p>
    <w:p w:rsidR="00953839" w:rsidRDefault="00953839" w:rsidP="00953839">
      <w:r>
        <w:t xml:space="preserve">   - Mise en place des modalités de travail</w:t>
      </w:r>
    </w:p>
    <w:p w:rsidR="00953839" w:rsidRDefault="00953839" w:rsidP="00953839">
      <w:r>
        <w:t>3. Phase de maintien</w:t>
      </w:r>
    </w:p>
    <w:p w:rsidR="00953839" w:rsidRDefault="00953839" w:rsidP="00953839">
      <w:r>
        <w:t xml:space="preserve">   - Gestion des ruptures et réparations</w:t>
      </w:r>
    </w:p>
    <w:p w:rsidR="00953839" w:rsidRDefault="00953839" w:rsidP="00953839">
      <w:r>
        <w:t xml:space="preserve">   - Ajustement continu</w:t>
      </w:r>
    </w:p>
    <w:p w:rsidR="00953839" w:rsidRDefault="00953839" w:rsidP="00953839">
      <w:r>
        <w:t xml:space="preserve">   - Renforcement du lien</w:t>
      </w:r>
    </w:p>
    <w:p w:rsidR="00953839" w:rsidRDefault="00953839" w:rsidP="00953839">
      <w:r>
        <w:t>B. Facteurs influençant le développement</w:t>
      </w:r>
    </w:p>
    <w:p w:rsidR="00953839" w:rsidRDefault="00953839" w:rsidP="00953839">
      <w:r>
        <w:t>1. Facteurs liés au thérapeute</w:t>
      </w:r>
    </w:p>
    <w:p w:rsidR="00953839" w:rsidRDefault="00953839" w:rsidP="00953839">
      <w:r>
        <w:t xml:space="preserve">   - Compétences relationnelles</w:t>
      </w:r>
    </w:p>
    <w:p w:rsidR="00953839" w:rsidRDefault="00953839" w:rsidP="00953839">
      <w:r>
        <w:t xml:space="preserve">   - Expertise technique</w:t>
      </w:r>
    </w:p>
    <w:p w:rsidR="00953839" w:rsidRDefault="00953839" w:rsidP="00953839">
      <w:r>
        <w:t xml:space="preserve"> - Capacité d'empathie</w:t>
      </w:r>
    </w:p>
    <w:p w:rsidR="00953839" w:rsidRDefault="00953839" w:rsidP="00953839">
      <w:r>
        <w:t>2. Facteurs liés au patient</w:t>
      </w:r>
    </w:p>
    <w:p w:rsidR="00953839" w:rsidRDefault="00953839" w:rsidP="00953839">
      <w:r>
        <w:t xml:space="preserve">   - Motivation au changement</w:t>
      </w:r>
    </w:p>
    <w:p w:rsidR="00953839" w:rsidRDefault="00953839" w:rsidP="00953839">
      <w:r>
        <w:lastRenderedPageBreak/>
        <w:t xml:space="preserve">   - Capacités d'attachement</w:t>
      </w:r>
    </w:p>
    <w:p w:rsidR="00953839" w:rsidRDefault="00953839" w:rsidP="00953839">
      <w:r>
        <w:t xml:space="preserve">   - Expériences thérapeutiques antérieures</w:t>
      </w:r>
    </w:p>
    <w:p w:rsidR="00953839" w:rsidRDefault="00953839" w:rsidP="00953839">
      <w:r>
        <w:t>IV. Applications Pratiques et Implications Cliniques</w:t>
      </w:r>
    </w:p>
    <w:p w:rsidR="00953839" w:rsidRDefault="00953839" w:rsidP="00953839">
      <w:r>
        <w:t>A. Évaluation de l'alliance</w:t>
      </w:r>
    </w:p>
    <w:p w:rsidR="00953839" w:rsidRDefault="00953839" w:rsidP="00953839">
      <w:r>
        <w:t>1. Outils de mesure</w:t>
      </w:r>
    </w:p>
    <w:p w:rsidR="00953839" w:rsidRDefault="00953839" w:rsidP="00953839">
      <w:r>
        <w:t xml:space="preserve">   - </w:t>
      </w:r>
      <w:proofErr w:type="spellStart"/>
      <w:r>
        <w:t>Working</w:t>
      </w:r>
      <w:proofErr w:type="spellEnd"/>
      <w:r>
        <w:t xml:space="preserve"> Alliance </w:t>
      </w:r>
      <w:proofErr w:type="spellStart"/>
      <w:r>
        <w:t>Inventory</w:t>
      </w:r>
      <w:proofErr w:type="spellEnd"/>
      <w:r>
        <w:t xml:space="preserve"> (WAI)</w:t>
      </w:r>
    </w:p>
    <w:p w:rsidR="00953839" w:rsidRDefault="00953839" w:rsidP="00953839">
      <w:r>
        <w:t xml:space="preserve">   - </w:t>
      </w:r>
      <w:proofErr w:type="spellStart"/>
      <w:r>
        <w:t>California</w:t>
      </w:r>
      <w:proofErr w:type="spellEnd"/>
      <w:r>
        <w:t xml:space="preserve"> </w:t>
      </w:r>
      <w:proofErr w:type="spellStart"/>
      <w:r>
        <w:t>Psychotherapy</w:t>
      </w:r>
      <w:proofErr w:type="spellEnd"/>
      <w:r>
        <w:t xml:space="preserve"> Alliance </w:t>
      </w:r>
      <w:proofErr w:type="spellStart"/>
      <w:r>
        <w:t>Scales</w:t>
      </w:r>
      <w:proofErr w:type="spellEnd"/>
      <w:r>
        <w:t xml:space="preserve"> (CALPAS)</w:t>
      </w:r>
    </w:p>
    <w:p w:rsidR="00953839" w:rsidRDefault="00953839" w:rsidP="00953839">
      <w:r>
        <w:t xml:space="preserve">   - </w:t>
      </w:r>
      <w:proofErr w:type="spellStart"/>
      <w:r>
        <w:t>Helping</w:t>
      </w:r>
      <w:proofErr w:type="spellEnd"/>
      <w:r>
        <w:t xml:space="preserve"> Alliance Questionnaire (HAQ)</w:t>
      </w:r>
    </w:p>
    <w:p w:rsidR="00953839" w:rsidRDefault="00953839" w:rsidP="00953839">
      <w:r>
        <w:t>2. Indicateurs cliniques</w:t>
      </w:r>
    </w:p>
    <w:p w:rsidR="00953839" w:rsidRDefault="00953839" w:rsidP="00953839">
      <w:r>
        <w:t xml:space="preserve">   - Engagement dans la thérapie</w:t>
      </w:r>
    </w:p>
    <w:p w:rsidR="00953839" w:rsidRDefault="00953839" w:rsidP="00953839">
      <w:r>
        <w:t xml:space="preserve">   - Qualité de la communication</w:t>
      </w:r>
    </w:p>
    <w:p w:rsidR="00953839" w:rsidRDefault="00953839" w:rsidP="00953839">
      <w:r>
        <w:t xml:space="preserve">   - Progression vers les objectifs</w:t>
      </w:r>
    </w:p>
    <w:p w:rsidR="00953839" w:rsidRDefault="00953839" w:rsidP="00953839">
      <w:r>
        <w:t>B. Interventions pour renforcer l'alliance</w:t>
      </w:r>
    </w:p>
    <w:p w:rsidR="00953839" w:rsidRDefault="00953839" w:rsidP="00953839">
      <w:r>
        <w:t>1. Techniques directes</w:t>
      </w:r>
    </w:p>
    <w:p w:rsidR="00953839" w:rsidRDefault="00953839" w:rsidP="00953839">
      <w:r>
        <w:t xml:space="preserve">   - Clarification des objectifs</w:t>
      </w:r>
    </w:p>
    <w:p w:rsidR="00953839" w:rsidRDefault="00953839" w:rsidP="00953839">
      <w:r>
        <w:t xml:space="preserve">   - Feedback régulier</w:t>
      </w:r>
    </w:p>
    <w:p w:rsidR="00953839" w:rsidRDefault="00953839" w:rsidP="00953839">
      <w:r>
        <w:t xml:space="preserve">   - Résolution des ruptures</w:t>
      </w:r>
    </w:p>
    <w:p w:rsidR="00953839" w:rsidRDefault="00953839" w:rsidP="00953839">
      <w:r>
        <w:t>2. Approches indirectes</w:t>
      </w:r>
    </w:p>
    <w:p w:rsidR="00953839" w:rsidRDefault="00953839" w:rsidP="00953839">
      <w:r>
        <w:t xml:space="preserve">   - Amélioration de la communication</w:t>
      </w:r>
    </w:p>
    <w:p w:rsidR="00953839" w:rsidRDefault="00953839" w:rsidP="00953839">
      <w:r>
        <w:t xml:space="preserve">   - Adaptation du style thérapeutique</w:t>
      </w:r>
    </w:p>
    <w:p w:rsidR="00953839" w:rsidRDefault="00953839" w:rsidP="00953839">
      <w:r>
        <w:t xml:space="preserve">   - Renforcement de l'engagement</w:t>
      </w:r>
    </w:p>
    <w:p w:rsidR="00953839" w:rsidRDefault="00953839" w:rsidP="00953839">
      <w:r>
        <w:t>V. Défis et Perspectives</w:t>
      </w:r>
    </w:p>
    <w:p w:rsidR="00953839" w:rsidRDefault="00953839" w:rsidP="00953839">
      <w:r>
        <w:t>A. Défis actuels</w:t>
      </w:r>
    </w:p>
    <w:p w:rsidR="00953839" w:rsidRDefault="00953839" w:rsidP="00953839"/>
    <w:p w:rsidR="00953839" w:rsidRDefault="00953839" w:rsidP="00953839">
      <w:r>
        <w:t>1. Cliniques</w:t>
      </w:r>
    </w:p>
    <w:p w:rsidR="00953839" w:rsidRDefault="00953839" w:rsidP="00953839">
      <w:r>
        <w:t xml:space="preserve">   - Gestion des ruptures</w:t>
      </w:r>
    </w:p>
    <w:p w:rsidR="00953839" w:rsidRDefault="00953839" w:rsidP="00953839">
      <w:r>
        <w:t xml:space="preserve">   - Adaptation aux différents contextes</w:t>
      </w:r>
    </w:p>
    <w:p w:rsidR="00953839" w:rsidRDefault="00953839" w:rsidP="00953839">
      <w:r>
        <w:lastRenderedPageBreak/>
        <w:t xml:space="preserve">   - Maintien à long terme</w:t>
      </w:r>
    </w:p>
    <w:p w:rsidR="00953839" w:rsidRDefault="00953839" w:rsidP="00953839">
      <w:r>
        <w:t>2. Recherche</w:t>
      </w:r>
    </w:p>
    <w:p w:rsidR="00953839" w:rsidRDefault="00953839" w:rsidP="00953839">
      <w:r>
        <w:t xml:space="preserve">   - Amélioration des outils de mesure</w:t>
      </w:r>
    </w:p>
    <w:p w:rsidR="00953839" w:rsidRDefault="00953839" w:rsidP="00953839">
      <w:r>
        <w:t xml:space="preserve">   - Identification des mécanismes d'action</w:t>
      </w:r>
    </w:p>
    <w:p w:rsidR="00953839" w:rsidRDefault="00953839" w:rsidP="00953839">
      <w:r>
        <w:t xml:space="preserve">   - Validation transculturelle</w:t>
      </w:r>
    </w:p>
    <w:p w:rsidR="00953839" w:rsidRDefault="00953839" w:rsidP="00953839">
      <w:r>
        <w:t>B. Perspectives futures</w:t>
      </w:r>
    </w:p>
    <w:p w:rsidR="00953839" w:rsidRDefault="00953839" w:rsidP="00953839">
      <w:r>
        <w:t>1. Développements théoriques</w:t>
      </w:r>
    </w:p>
    <w:p w:rsidR="00953839" w:rsidRDefault="00953839" w:rsidP="00953839">
      <w:r>
        <w:t xml:space="preserve">   - Intégration des neurosciences</w:t>
      </w:r>
    </w:p>
    <w:p w:rsidR="00953839" w:rsidRDefault="00953839" w:rsidP="00953839">
      <w:r>
        <w:t xml:space="preserve">   - Adaptation aux nouvelles modalités thérapeutiques</w:t>
      </w:r>
    </w:p>
    <w:p w:rsidR="00953839" w:rsidRDefault="00953839" w:rsidP="00953839">
      <w:r>
        <w:t xml:space="preserve">   - Personnalisation des interventions</w:t>
      </w:r>
    </w:p>
    <w:p w:rsidR="00953839" w:rsidRDefault="00953839" w:rsidP="00953839">
      <w:r>
        <w:t>2. Applications pratiques</w:t>
      </w:r>
    </w:p>
    <w:p w:rsidR="00953839" w:rsidRDefault="00953839" w:rsidP="00953839">
      <w:r>
        <w:t xml:space="preserve">   - Formation des thérapeutes</w:t>
      </w:r>
    </w:p>
    <w:p w:rsidR="00953839" w:rsidRDefault="00953839" w:rsidP="00953839">
      <w:r>
        <w:t xml:space="preserve">   - Supervision clinique</w:t>
      </w:r>
    </w:p>
    <w:p w:rsidR="00953839" w:rsidRDefault="00953839" w:rsidP="00953839">
      <w:r>
        <w:t xml:space="preserve">   - Amélioration des résultats thérapeutiques</w:t>
      </w:r>
    </w:p>
    <w:p w:rsidR="00953839" w:rsidRDefault="00953839" w:rsidP="00953839"/>
    <w:p w:rsidR="00953839" w:rsidRDefault="00953839" w:rsidP="00953839">
      <w:r>
        <w:t>Références</w:t>
      </w:r>
    </w:p>
    <w:p w:rsidR="00953839" w:rsidRDefault="00953839" w:rsidP="00953839"/>
    <w:p w:rsidR="00953839" w:rsidRDefault="00953839" w:rsidP="00953839">
      <w:r>
        <w:t xml:space="preserve">1. </w:t>
      </w:r>
      <w:proofErr w:type="spellStart"/>
      <w:r>
        <w:t>Bordin</w:t>
      </w:r>
      <w:proofErr w:type="spellEnd"/>
      <w:r>
        <w:t xml:space="preserve">, E. S. (1979). The </w:t>
      </w:r>
      <w:proofErr w:type="spellStart"/>
      <w:r>
        <w:t>generalizability</w:t>
      </w:r>
      <w:proofErr w:type="spellEnd"/>
      <w:r>
        <w:t xml:space="preserve"> of the </w:t>
      </w:r>
      <w:proofErr w:type="spellStart"/>
      <w:r>
        <w:t>psychoanalytic</w:t>
      </w:r>
      <w:proofErr w:type="spellEnd"/>
      <w:r>
        <w:t xml:space="preserve"> concept of the </w:t>
      </w:r>
      <w:proofErr w:type="spellStart"/>
      <w:r>
        <w:t>working</w:t>
      </w:r>
      <w:proofErr w:type="spellEnd"/>
      <w:r>
        <w:t xml:space="preserve"> alliance. </w:t>
      </w:r>
      <w:proofErr w:type="spellStart"/>
      <w:r>
        <w:t>Psychotherapy</w:t>
      </w:r>
      <w:proofErr w:type="spellEnd"/>
      <w:r>
        <w:t xml:space="preserve">: </w:t>
      </w:r>
      <w:proofErr w:type="spellStart"/>
      <w:r>
        <w:t>Theory</w:t>
      </w:r>
      <w:proofErr w:type="spellEnd"/>
      <w:r>
        <w:t xml:space="preserve">, </w:t>
      </w:r>
      <w:proofErr w:type="spellStart"/>
      <w:r>
        <w:t>Research</w:t>
      </w:r>
      <w:proofErr w:type="spellEnd"/>
      <w:r>
        <w:t xml:space="preserve"> &amp; Practice, 16(3), 252-260.</w:t>
      </w:r>
    </w:p>
    <w:p w:rsidR="00953839" w:rsidRDefault="00953839" w:rsidP="00953839"/>
    <w:p w:rsidR="00953839" w:rsidRDefault="00953839" w:rsidP="00953839">
      <w:r>
        <w:t xml:space="preserve">2. Horvath, A. O., &amp; </w:t>
      </w:r>
      <w:proofErr w:type="spellStart"/>
      <w:r>
        <w:t>Luborsky</w:t>
      </w:r>
      <w:proofErr w:type="spellEnd"/>
      <w:r>
        <w:t xml:space="preserve">, L. (1993). The </w:t>
      </w:r>
      <w:proofErr w:type="spellStart"/>
      <w:r>
        <w:t>role</w:t>
      </w:r>
      <w:proofErr w:type="spellEnd"/>
      <w:r>
        <w:t xml:space="preserve"> of the </w:t>
      </w:r>
      <w:proofErr w:type="spellStart"/>
      <w:r>
        <w:t>therapeutic</w:t>
      </w:r>
      <w:proofErr w:type="spellEnd"/>
      <w:r>
        <w:t xml:space="preserve"> alliance in </w:t>
      </w:r>
      <w:proofErr w:type="spellStart"/>
      <w:r>
        <w:t>psychotherapy</w:t>
      </w:r>
      <w:proofErr w:type="spellEnd"/>
      <w:r>
        <w:t xml:space="preserve">. Journal of Consulting and </w:t>
      </w:r>
      <w:proofErr w:type="spellStart"/>
      <w:r>
        <w:t>Clinical</w:t>
      </w:r>
      <w:proofErr w:type="spellEnd"/>
      <w:r>
        <w:t xml:space="preserve"> </w:t>
      </w:r>
      <w:proofErr w:type="spellStart"/>
      <w:r>
        <w:t>Psychology</w:t>
      </w:r>
      <w:proofErr w:type="spellEnd"/>
      <w:r>
        <w:t>, 61(4), 561-573.</w:t>
      </w:r>
    </w:p>
    <w:p w:rsidR="00953839" w:rsidRDefault="00953839" w:rsidP="00953839"/>
    <w:p w:rsidR="00953839" w:rsidRDefault="00953839" w:rsidP="00953839">
      <w:r>
        <w:t xml:space="preserve">3. Safran, J. D., &amp; </w:t>
      </w:r>
      <w:proofErr w:type="spellStart"/>
      <w:r>
        <w:t>Muran</w:t>
      </w:r>
      <w:proofErr w:type="spellEnd"/>
      <w:r>
        <w:t xml:space="preserve">, J. C. (2000). </w:t>
      </w:r>
      <w:proofErr w:type="spellStart"/>
      <w:r>
        <w:t>Negotiating</w:t>
      </w:r>
      <w:proofErr w:type="spellEnd"/>
      <w:r>
        <w:t xml:space="preserve"> the </w:t>
      </w:r>
      <w:proofErr w:type="spellStart"/>
      <w:r>
        <w:t>therapeutic</w:t>
      </w:r>
      <w:proofErr w:type="spellEnd"/>
      <w:r>
        <w:t xml:space="preserve"> alliance: A </w:t>
      </w:r>
      <w:proofErr w:type="spellStart"/>
      <w:r>
        <w:t>relational</w:t>
      </w:r>
      <w:proofErr w:type="spellEnd"/>
      <w:r>
        <w:t xml:space="preserve"> </w:t>
      </w:r>
      <w:proofErr w:type="spellStart"/>
      <w:r>
        <w:t>treatment</w:t>
      </w:r>
      <w:proofErr w:type="spellEnd"/>
      <w:r>
        <w:t xml:space="preserve"> guide. </w:t>
      </w:r>
      <w:proofErr w:type="spellStart"/>
      <w:r>
        <w:t>Guilford</w:t>
      </w:r>
      <w:proofErr w:type="spellEnd"/>
      <w:r>
        <w:t xml:space="preserve"> </w:t>
      </w:r>
      <w:proofErr w:type="spellStart"/>
      <w:r>
        <w:t>Press</w:t>
      </w:r>
      <w:proofErr w:type="spellEnd"/>
      <w:r>
        <w:t>.</w:t>
      </w:r>
    </w:p>
    <w:p w:rsidR="00953839" w:rsidRDefault="00953839" w:rsidP="00953839"/>
    <w:p w:rsidR="00953839" w:rsidRDefault="00953839" w:rsidP="00953839">
      <w:r>
        <w:t xml:space="preserve">4. </w:t>
      </w:r>
      <w:proofErr w:type="spellStart"/>
      <w:r>
        <w:t>Zetzel</w:t>
      </w:r>
      <w:proofErr w:type="spellEnd"/>
      <w:r>
        <w:t xml:space="preserve">, E. R. (1956). </w:t>
      </w:r>
      <w:proofErr w:type="spellStart"/>
      <w:r>
        <w:t>Current</w:t>
      </w:r>
      <w:proofErr w:type="spellEnd"/>
      <w:r>
        <w:t xml:space="preserve"> concepts of </w:t>
      </w:r>
      <w:proofErr w:type="spellStart"/>
      <w:r>
        <w:t>transference</w:t>
      </w:r>
      <w:proofErr w:type="spellEnd"/>
      <w:r>
        <w:t xml:space="preserve">. International Journal of </w:t>
      </w:r>
      <w:proofErr w:type="spellStart"/>
      <w:r>
        <w:t>Psychoanalysis</w:t>
      </w:r>
      <w:proofErr w:type="spellEnd"/>
      <w:r>
        <w:t>, 37, 369-376.</w:t>
      </w:r>
    </w:p>
    <w:p w:rsidR="00953839" w:rsidRDefault="00953839" w:rsidP="00953839"/>
    <w:p w:rsidR="00953839" w:rsidRDefault="00953839" w:rsidP="00953839">
      <w:r>
        <w:lastRenderedPageBreak/>
        <w:t xml:space="preserve">5. </w:t>
      </w:r>
      <w:proofErr w:type="spellStart"/>
      <w:r>
        <w:t>Greenson</w:t>
      </w:r>
      <w:proofErr w:type="spellEnd"/>
      <w:r>
        <w:t xml:space="preserve">, R. R. (1965). The </w:t>
      </w:r>
      <w:proofErr w:type="spellStart"/>
      <w:r>
        <w:t>working</w:t>
      </w:r>
      <w:proofErr w:type="spellEnd"/>
      <w:r>
        <w:t xml:space="preserve"> alliance and the </w:t>
      </w:r>
      <w:proofErr w:type="spellStart"/>
      <w:r>
        <w:t>transference</w:t>
      </w:r>
      <w:proofErr w:type="spellEnd"/>
      <w:r>
        <w:t xml:space="preserve"> </w:t>
      </w:r>
      <w:proofErr w:type="spellStart"/>
      <w:r>
        <w:t>neurosis</w:t>
      </w:r>
      <w:proofErr w:type="spellEnd"/>
      <w:r>
        <w:t xml:space="preserve">. The </w:t>
      </w:r>
      <w:proofErr w:type="spellStart"/>
      <w:r>
        <w:t>Psychoanalytic</w:t>
      </w:r>
      <w:proofErr w:type="spellEnd"/>
      <w:r>
        <w:t xml:space="preserve"> </w:t>
      </w:r>
      <w:proofErr w:type="spellStart"/>
      <w:r>
        <w:t>Quarterly</w:t>
      </w:r>
      <w:proofErr w:type="spellEnd"/>
      <w:r>
        <w:t>, 34(2), 155-181.</w:t>
      </w:r>
    </w:p>
    <w:p w:rsidR="00243C7A" w:rsidRPr="00243C7A" w:rsidRDefault="00243C7A" w:rsidP="00243C7A">
      <w:pPr>
        <w:shd w:val="clear" w:color="auto" w:fill="FFFFFF"/>
        <w:spacing w:before="100" w:beforeAutospacing="1" w:after="100" w:afterAutospacing="1" w:line="240" w:lineRule="auto"/>
        <w:rPr>
          <w:rFonts w:ascii="Poppins" w:eastAsia="Times New Roman" w:hAnsi="Poppins" w:cs="Times New Roman"/>
          <w:color w:val="000000"/>
          <w:sz w:val="20"/>
          <w:szCs w:val="20"/>
          <w:lang w:eastAsia="fr-FR"/>
        </w:rPr>
      </w:pPr>
    </w:p>
    <w:p w:rsidR="00243C7A" w:rsidRDefault="00243C7A" w:rsidP="00243C7A">
      <w:pPr>
        <w:pStyle w:val="whitespace-pre-wrap"/>
      </w:pPr>
    </w:p>
    <w:p w:rsidR="00D15802" w:rsidRDefault="00D15802" w:rsidP="00D15802">
      <w:pPr>
        <w:pStyle w:val="whitespace-pre-wrap"/>
      </w:pPr>
      <w:r>
        <w:rPr>
          <w:noProof/>
        </w:rPr>
        <w:drawing>
          <wp:inline distT="0" distB="0" distL="0" distR="0">
            <wp:extent cx="6440635" cy="3619077"/>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6444820" cy="3621429"/>
                    </a:xfrm>
                    <a:prstGeom prst="rect">
                      <a:avLst/>
                    </a:prstGeom>
                    <a:noFill/>
                    <a:ln w="9525">
                      <a:noFill/>
                      <a:miter lim="800000"/>
                      <a:headEnd/>
                      <a:tailEnd/>
                    </a:ln>
                  </pic:spPr>
                </pic:pic>
              </a:graphicData>
            </a:graphic>
          </wp:inline>
        </w:drawing>
      </w:r>
    </w:p>
    <w:p w:rsidR="00D15802" w:rsidRDefault="00D15802" w:rsidP="00D15802">
      <w:pPr>
        <w:pStyle w:val="whitespace-pre-wrap"/>
      </w:pPr>
      <w:r>
        <w:rPr>
          <w:noProof/>
        </w:rPr>
        <w:drawing>
          <wp:inline distT="0" distB="0" distL="0" distR="0">
            <wp:extent cx="5760720" cy="3258639"/>
            <wp:effectExtent l="1905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5760720" cy="3258639"/>
                    </a:xfrm>
                    <a:prstGeom prst="rect">
                      <a:avLst/>
                    </a:prstGeom>
                    <a:noFill/>
                    <a:ln w="9525">
                      <a:noFill/>
                      <a:miter lim="800000"/>
                      <a:headEnd/>
                      <a:tailEnd/>
                    </a:ln>
                  </pic:spPr>
                </pic:pic>
              </a:graphicData>
            </a:graphic>
          </wp:inline>
        </w:drawing>
      </w:r>
    </w:p>
    <w:p w:rsidR="00C375F4" w:rsidRDefault="00C375F4" w:rsidP="00D15802">
      <w:pPr>
        <w:pStyle w:val="whitespace-pre-wrap"/>
      </w:pPr>
      <w:r>
        <w:rPr>
          <w:noProof/>
        </w:rPr>
        <w:lastRenderedPageBreak/>
        <w:drawing>
          <wp:inline distT="0" distB="0" distL="0" distR="0">
            <wp:extent cx="5760720" cy="3177989"/>
            <wp:effectExtent l="1905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5760720" cy="3177989"/>
                    </a:xfrm>
                    <a:prstGeom prst="rect">
                      <a:avLst/>
                    </a:prstGeom>
                    <a:noFill/>
                    <a:ln w="9525">
                      <a:noFill/>
                      <a:miter lim="800000"/>
                      <a:headEnd/>
                      <a:tailEnd/>
                    </a:ln>
                  </pic:spPr>
                </pic:pic>
              </a:graphicData>
            </a:graphic>
          </wp:inline>
        </w:drawing>
      </w:r>
    </w:p>
    <w:p w:rsidR="00C375F4" w:rsidRDefault="00C375F4" w:rsidP="00D15802">
      <w:pPr>
        <w:pStyle w:val="whitespace-pre-wrap"/>
      </w:pPr>
      <w:r>
        <w:rPr>
          <w:noProof/>
        </w:rPr>
        <w:drawing>
          <wp:inline distT="0" distB="0" distL="0" distR="0">
            <wp:extent cx="5760720" cy="3242888"/>
            <wp:effectExtent l="1905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srcRect/>
                    <a:stretch>
                      <a:fillRect/>
                    </a:stretch>
                  </pic:blipFill>
                  <pic:spPr bwMode="auto">
                    <a:xfrm>
                      <a:off x="0" y="0"/>
                      <a:ext cx="5760720" cy="3242888"/>
                    </a:xfrm>
                    <a:prstGeom prst="rect">
                      <a:avLst/>
                    </a:prstGeom>
                    <a:noFill/>
                    <a:ln w="9525">
                      <a:noFill/>
                      <a:miter lim="800000"/>
                      <a:headEnd/>
                      <a:tailEnd/>
                    </a:ln>
                  </pic:spPr>
                </pic:pic>
              </a:graphicData>
            </a:graphic>
          </wp:inline>
        </w:drawing>
      </w:r>
    </w:p>
    <w:p w:rsidR="00C375F4" w:rsidRDefault="00C375F4" w:rsidP="00D15802">
      <w:pPr>
        <w:pStyle w:val="whitespace-pre-wrap"/>
      </w:pPr>
      <w:r>
        <w:rPr>
          <w:noProof/>
        </w:rPr>
        <w:lastRenderedPageBreak/>
        <w:drawing>
          <wp:inline distT="0" distB="0" distL="0" distR="0">
            <wp:extent cx="5760720" cy="3169632"/>
            <wp:effectExtent l="1905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srcRect/>
                    <a:stretch>
                      <a:fillRect/>
                    </a:stretch>
                  </pic:blipFill>
                  <pic:spPr bwMode="auto">
                    <a:xfrm>
                      <a:off x="0" y="0"/>
                      <a:ext cx="5760720" cy="3169632"/>
                    </a:xfrm>
                    <a:prstGeom prst="rect">
                      <a:avLst/>
                    </a:prstGeom>
                    <a:noFill/>
                    <a:ln w="9525">
                      <a:noFill/>
                      <a:miter lim="800000"/>
                      <a:headEnd/>
                      <a:tailEnd/>
                    </a:ln>
                  </pic:spPr>
                </pic:pic>
              </a:graphicData>
            </a:graphic>
          </wp:inline>
        </w:drawing>
      </w:r>
    </w:p>
    <w:p w:rsidR="00C375F4" w:rsidRDefault="00C375F4" w:rsidP="00D15802">
      <w:pPr>
        <w:pStyle w:val="whitespace-pre-wrap"/>
      </w:pPr>
      <w:r>
        <w:rPr>
          <w:noProof/>
        </w:rPr>
        <w:drawing>
          <wp:inline distT="0" distB="0" distL="0" distR="0">
            <wp:extent cx="5760720" cy="3277565"/>
            <wp:effectExtent l="1905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srcRect/>
                    <a:stretch>
                      <a:fillRect/>
                    </a:stretch>
                  </pic:blipFill>
                  <pic:spPr bwMode="auto">
                    <a:xfrm>
                      <a:off x="0" y="0"/>
                      <a:ext cx="5760720" cy="3277565"/>
                    </a:xfrm>
                    <a:prstGeom prst="rect">
                      <a:avLst/>
                    </a:prstGeom>
                    <a:noFill/>
                    <a:ln w="9525">
                      <a:noFill/>
                      <a:miter lim="800000"/>
                      <a:headEnd/>
                      <a:tailEnd/>
                    </a:ln>
                  </pic:spPr>
                </pic:pic>
              </a:graphicData>
            </a:graphic>
          </wp:inline>
        </w:drawing>
      </w:r>
    </w:p>
    <w:p w:rsidR="00C375F4" w:rsidRDefault="00C375F4" w:rsidP="00D15802">
      <w:pPr>
        <w:pStyle w:val="whitespace-pre-wrap"/>
      </w:pPr>
      <w:r>
        <w:rPr>
          <w:noProof/>
        </w:rPr>
        <w:lastRenderedPageBreak/>
        <w:drawing>
          <wp:inline distT="0" distB="0" distL="0" distR="0">
            <wp:extent cx="5760720" cy="3140410"/>
            <wp:effectExtent l="1905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srcRect/>
                    <a:stretch>
                      <a:fillRect/>
                    </a:stretch>
                  </pic:blipFill>
                  <pic:spPr bwMode="auto">
                    <a:xfrm>
                      <a:off x="0" y="0"/>
                      <a:ext cx="5760720" cy="3140410"/>
                    </a:xfrm>
                    <a:prstGeom prst="rect">
                      <a:avLst/>
                    </a:prstGeom>
                    <a:noFill/>
                    <a:ln w="9525">
                      <a:noFill/>
                      <a:miter lim="800000"/>
                      <a:headEnd/>
                      <a:tailEnd/>
                    </a:ln>
                  </pic:spPr>
                </pic:pic>
              </a:graphicData>
            </a:graphic>
          </wp:inline>
        </w:drawing>
      </w:r>
      <w:r w:rsidRPr="00C375F4">
        <w:t xml:space="preserve"> </w:t>
      </w:r>
      <w:r>
        <w:rPr>
          <w:noProof/>
        </w:rPr>
        <w:drawing>
          <wp:inline distT="0" distB="0" distL="0" distR="0">
            <wp:extent cx="5760720" cy="3230775"/>
            <wp:effectExtent l="1905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srcRect/>
                    <a:stretch>
                      <a:fillRect/>
                    </a:stretch>
                  </pic:blipFill>
                  <pic:spPr bwMode="auto">
                    <a:xfrm>
                      <a:off x="0" y="0"/>
                      <a:ext cx="5760720" cy="3230775"/>
                    </a:xfrm>
                    <a:prstGeom prst="rect">
                      <a:avLst/>
                    </a:prstGeom>
                    <a:noFill/>
                    <a:ln w="9525">
                      <a:noFill/>
                      <a:miter lim="800000"/>
                      <a:headEnd/>
                      <a:tailEnd/>
                    </a:ln>
                  </pic:spPr>
                </pic:pic>
              </a:graphicData>
            </a:graphic>
          </wp:inline>
        </w:drawing>
      </w:r>
    </w:p>
    <w:p w:rsidR="00C375F4" w:rsidRDefault="00C375F4" w:rsidP="00D15802">
      <w:pPr>
        <w:pStyle w:val="whitespace-pre-wrap"/>
      </w:pPr>
      <w:r>
        <w:rPr>
          <w:noProof/>
        </w:rPr>
        <w:lastRenderedPageBreak/>
        <w:drawing>
          <wp:inline distT="0" distB="0" distL="0" distR="0">
            <wp:extent cx="5760720" cy="3181071"/>
            <wp:effectExtent l="1905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a:srcRect/>
                    <a:stretch>
                      <a:fillRect/>
                    </a:stretch>
                  </pic:blipFill>
                  <pic:spPr bwMode="auto">
                    <a:xfrm>
                      <a:off x="0" y="0"/>
                      <a:ext cx="5760720" cy="3181071"/>
                    </a:xfrm>
                    <a:prstGeom prst="rect">
                      <a:avLst/>
                    </a:prstGeom>
                    <a:noFill/>
                    <a:ln w="9525">
                      <a:noFill/>
                      <a:miter lim="800000"/>
                      <a:headEnd/>
                      <a:tailEnd/>
                    </a:ln>
                  </pic:spPr>
                </pic:pic>
              </a:graphicData>
            </a:graphic>
          </wp:inline>
        </w:drawing>
      </w:r>
    </w:p>
    <w:p w:rsidR="00C375F4" w:rsidRDefault="00C375F4" w:rsidP="00D15802">
      <w:pPr>
        <w:pStyle w:val="whitespace-pre-wrap"/>
      </w:pPr>
      <w:r>
        <w:rPr>
          <w:noProof/>
        </w:rPr>
        <w:drawing>
          <wp:inline distT="0" distB="0" distL="0" distR="0">
            <wp:extent cx="5760720" cy="3208125"/>
            <wp:effectExtent l="1905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a:srcRect/>
                    <a:stretch>
                      <a:fillRect/>
                    </a:stretch>
                  </pic:blipFill>
                  <pic:spPr bwMode="auto">
                    <a:xfrm>
                      <a:off x="0" y="0"/>
                      <a:ext cx="5760720" cy="3208125"/>
                    </a:xfrm>
                    <a:prstGeom prst="rect">
                      <a:avLst/>
                    </a:prstGeom>
                    <a:noFill/>
                    <a:ln w="9525">
                      <a:noFill/>
                      <a:miter lim="800000"/>
                      <a:headEnd/>
                      <a:tailEnd/>
                    </a:ln>
                  </pic:spPr>
                </pic:pic>
              </a:graphicData>
            </a:graphic>
          </wp:inline>
        </w:drawing>
      </w:r>
    </w:p>
    <w:p w:rsidR="00C375F4" w:rsidRDefault="00C375F4" w:rsidP="00D15802">
      <w:pPr>
        <w:pStyle w:val="whitespace-pre-wrap"/>
      </w:pPr>
      <w:r>
        <w:rPr>
          <w:noProof/>
        </w:rPr>
        <w:lastRenderedPageBreak/>
        <w:drawing>
          <wp:inline distT="0" distB="0" distL="0" distR="0">
            <wp:extent cx="5760720" cy="3120807"/>
            <wp:effectExtent l="1905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a:srcRect/>
                    <a:stretch>
                      <a:fillRect/>
                    </a:stretch>
                  </pic:blipFill>
                  <pic:spPr bwMode="auto">
                    <a:xfrm>
                      <a:off x="0" y="0"/>
                      <a:ext cx="5760720" cy="3120807"/>
                    </a:xfrm>
                    <a:prstGeom prst="rect">
                      <a:avLst/>
                    </a:prstGeom>
                    <a:noFill/>
                    <a:ln w="9525">
                      <a:noFill/>
                      <a:miter lim="800000"/>
                      <a:headEnd/>
                      <a:tailEnd/>
                    </a:ln>
                  </pic:spPr>
                </pic:pic>
              </a:graphicData>
            </a:graphic>
          </wp:inline>
        </w:drawing>
      </w:r>
    </w:p>
    <w:p w:rsidR="00F94659" w:rsidRDefault="002F5364" w:rsidP="00A94FDA">
      <w:pPr>
        <w:pStyle w:val="whitespace-pre-wrap"/>
      </w:pPr>
      <w:proofErr w:type="gramStart"/>
      <w:r>
        <w:t>tableau</w:t>
      </w:r>
      <w:proofErr w:type="gramEnd"/>
      <w:r>
        <w:t xml:space="preserve"> qui compare et contraste les éléments essentiels de la relation et de l'alliance thérapeutique.</w:t>
      </w:r>
    </w:p>
    <w:tbl>
      <w:tblPr>
        <w:tblStyle w:val="Grilledutableau"/>
        <w:tblW w:w="0" w:type="auto"/>
        <w:tblLook w:val="04A0"/>
      </w:tblPr>
      <w:tblGrid>
        <w:gridCol w:w="3070"/>
        <w:gridCol w:w="3071"/>
        <w:gridCol w:w="3071"/>
      </w:tblGrid>
      <w:tr w:rsidR="00F94659" w:rsidTr="00F94659">
        <w:tc>
          <w:tcPr>
            <w:tcW w:w="3070" w:type="dxa"/>
          </w:tcPr>
          <w:p w:rsidR="00F94659" w:rsidRDefault="00F94659" w:rsidP="002F5364">
            <w:pPr>
              <w:pStyle w:val="whitespace-pre-wrap"/>
            </w:pPr>
            <w:r>
              <w:t>Aspects</w:t>
            </w:r>
          </w:p>
        </w:tc>
        <w:tc>
          <w:tcPr>
            <w:tcW w:w="3071" w:type="dxa"/>
          </w:tcPr>
          <w:p w:rsidR="00F94659" w:rsidRDefault="00F94659" w:rsidP="002F5364">
            <w:pPr>
              <w:pStyle w:val="whitespace-pre-wrap"/>
            </w:pPr>
            <w:r>
              <w:t>Relation Thérapeutique</w:t>
            </w:r>
          </w:p>
        </w:tc>
        <w:tc>
          <w:tcPr>
            <w:tcW w:w="3071" w:type="dxa"/>
          </w:tcPr>
          <w:p w:rsidR="00F94659" w:rsidRDefault="00F94659" w:rsidP="002F5364">
            <w:pPr>
              <w:pStyle w:val="whitespace-pre-wrap"/>
            </w:pPr>
            <w:r>
              <w:t>Alliance Thérapeutique</w:t>
            </w:r>
          </w:p>
        </w:tc>
      </w:tr>
      <w:tr w:rsidR="00F94659" w:rsidTr="00F94659">
        <w:tc>
          <w:tcPr>
            <w:tcW w:w="3070" w:type="dxa"/>
          </w:tcPr>
          <w:p w:rsidR="00F94659" w:rsidRDefault="00F94659" w:rsidP="002F5364">
            <w:pPr>
              <w:pStyle w:val="whitespace-pre-wrap"/>
            </w:pPr>
            <w:r>
              <w:t>Définition</w:t>
            </w:r>
          </w:p>
        </w:tc>
        <w:tc>
          <w:tcPr>
            <w:tcW w:w="3071" w:type="dxa"/>
          </w:tcPr>
          <w:p w:rsidR="00F94659" w:rsidRDefault="00F94659" w:rsidP="002F5364">
            <w:pPr>
              <w:pStyle w:val="whitespace-pre-wrap"/>
            </w:pPr>
            <w:r>
              <w:t>Lien global entre thérapeute et patient</w:t>
            </w:r>
          </w:p>
        </w:tc>
        <w:tc>
          <w:tcPr>
            <w:tcW w:w="3071" w:type="dxa"/>
          </w:tcPr>
          <w:p w:rsidR="00F94659" w:rsidRDefault="00F94659" w:rsidP="002F5364">
            <w:pPr>
              <w:pStyle w:val="whitespace-pre-wrap"/>
            </w:pPr>
            <w:r>
              <w:t>Accord de travail collaboratif</w:t>
            </w:r>
          </w:p>
        </w:tc>
      </w:tr>
      <w:tr w:rsidR="00F94659" w:rsidTr="00F94659">
        <w:tc>
          <w:tcPr>
            <w:tcW w:w="3070" w:type="dxa"/>
          </w:tcPr>
          <w:p w:rsidR="00F94659" w:rsidRDefault="00F94659" w:rsidP="002F5364">
            <w:pPr>
              <w:pStyle w:val="whitespace-pre-wrap"/>
            </w:pPr>
            <w:r>
              <w:t>Nature</w:t>
            </w:r>
          </w:p>
        </w:tc>
        <w:tc>
          <w:tcPr>
            <w:tcW w:w="3071" w:type="dxa"/>
          </w:tcPr>
          <w:p w:rsidR="00F94659" w:rsidRDefault="00F94659" w:rsidP="002F5364">
            <w:pPr>
              <w:pStyle w:val="whitespace-pre-wrap"/>
            </w:pPr>
            <w:r>
              <w:t>Spontanée et naturelle</w:t>
            </w:r>
          </w:p>
        </w:tc>
        <w:tc>
          <w:tcPr>
            <w:tcW w:w="3071" w:type="dxa"/>
          </w:tcPr>
          <w:p w:rsidR="00F94659" w:rsidRDefault="00F94659" w:rsidP="002F5364">
            <w:pPr>
              <w:pStyle w:val="whitespace-pre-wrap"/>
            </w:pPr>
            <w:r>
              <w:t>Structurée et intentionnelle</w:t>
            </w:r>
          </w:p>
        </w:tc>
      </w:tr>
      <w:tr w:rsidR="00F94659" w:rsidTr="00F94659">
        <w:tc>
          <w:tcPr>
            <w:tcW w:w="3070" w:type="dxa"/>
          </w:tcPr>
          <w:p w:rsidR="00F94659" w:rsidRDefault="00F94659" w:rsidP="002F5364">
            <w:pPr>
              <w:pStyle w:val="whitespace-pre-wrap"/>
            </w:pPr>
            <w:r>
              <w:t>Composantes principales</w:t>
            </w:r>
          </w:p>
        </w:tc>
        <w:tc>
          <w:tcPr>
            <w:tcW w:w="3071" w:type="dxa"/>
          </w:tcPr>
          <w:p w:rsidR="00F94659" w:rsidRDefault="00F94659" w:rsidP="00F94659">
            <w:pPr>
              <w:pStyle w:val="whitespace-pre-wrap"/>
            </w:pPr>
            <w:r>
              <w:t xml:space="preserve"> Communication verbale/non-verbale Transfert/contre-transfert Aspects émotionnels</w:t>
            </w:r>
          </w:p>
        </w:tc>
        <w:tc>
          <w:tcPr>
            <w:tcW w:w="3071" w:type="dxa"/>
          </w:tcPr>
          <w:p w:rsidR="00F94659" w:rsidRDefault="00F94659" w:rsidP="00F94659">
            <w:pPr>
              <w:pStyle w:val="whitespace-pre-wrap"/>
            </w:pPr>
            <w:r>
              <w:t>Objectifs communs Moyens/méthodes           Lien de confiance |</w:t>
            </w:r>
          </w:p>
          <w:p w:rsidR="00F94659" w:rsidRDefault="00F94659" w:rsidP="002F5364">
            <w:pPr>
              <w:pStyle w:val="whitespace-pre-wrap"/>
            </w:pPr>
          </w:p>
        </w:tc>
      </w:tr>
      <w:tr w:rsidR="00F94659" w:rsidTr="00F94659">
        <w:tc>
          <w:tcPr>
            <w:tcW w:w="3070" w:type="dxa"/>
          </w:tcPr>
          <w:p w:rsidR="00F94659" w:rsidRDefault="00F94659" w:rsidP="002F5364">
            <w:pPr>
              <w:pStyle w:val="whitespace-pre-wrap"/>
            </w:pPr>
            <w:r>
              <w:t>Temporalité</w:t>
            </w:r>
          </w:p>
        </w:tc>
        <w:tc>
          <w:tcPr>
            <w:tcW w:w="3071" w:type="dxa"/>
          </w:tcPr>
          <w:p w:rsidR="00F94659" w:rsidRDefault="00F94659" w:rsidP="002F5364">
            <w:pPr>
              <w:pStyle w:val="whitespace-pre-wrap"/>
            </w:pPr>
            <w:r>
              <w:t>Présente dès le début</w:t>
            </w:r>
          </w:p>
        </w:tc>
        <w:tc>
          <w:tcPr>
            <w:tcW w:w="3071" w:type="dxa"/>
          </w:tcPr>
          <w:p w:rsidR="00F94659" w:rsidRDefault="00F94659" w:rsidP="002F5364">
            <w:pPr>
              <w:pStyle w:val="whitespace-pre-wrap"/>
            </w:pPr>
            <w:r>
              <w:t>Se construit progressivement</w:t>
            </w:r>
          </w:p>
        </w:tc>
      </w:tr>
      <w:tr w:rsidR="00F94659" w:rsidTr="00F94659">
        <w:tc>
          <w:tcPr>
            <w:tcW w:w="3070" w:type="dxa"/>
          </w:tcPr>
          <w:p w:rsidR="00F94659" w:rsidRDefault="00F94659" w:rsidP="002F5364">
            <w:pPr>
              <w:pStyle w:val="whitespace-pre-wrap"/>
            </w:pPr>
            <w:r>
              <w:t>Focus</w:t>
            </w:r>
          </w:p>
        </w:tc>
        <w:tc>
          <w:tcPr>
            <w:tcW w:w="3071" w:type="dxa"/>
          </w:tcPr>
          <w:p w:rsidR="00F94659" w:rsidRDefault="00F94659" w:rsidP="002F5364">
            <w:pPr>
              <w:pStyle w:val="whitespace-pre-wrap"/>
            </w:pPr>
            <w:r>
              <w:t>Sur l'interaction globale</w:t>
            </w:r>
          </w:p>
        </w:tc>
        <w:tc>
          <w:tcPr>
            <w:tcW w:w="3071" w:type="dxa"/>
          </w:tcPr>
          <w:p w:rsidR="00F94659" w:rsidRDefault="00F94659" w:rsidP="002F5364">
            <w:pPr>
              <w:pStyle w:val="whitespace-pre-wrap"/>
            </w:pPr>
            <w:r>
              <w:t>Sur le travail thérapeutique</w:t>
            </w:r>
          </w:p>
        </w:tc>
      </w:tr>
    </w:tbl>
    <w:p w:rsidR="002F5364" w:rsidRDefault="002F5364" w:rsidP="002F5364">
      <w:pPr>
        <w:pStyle w:val="whitespace-pre-wrap"/>
      </w:pPr>
    </w:p>
    <w:p w:rsidR="002F5364" w:rsidRDefault="002F5364" w:rsidP="002F5364">
      <w:pPr>
        <w:pStyle w:val="whitespace-pre-wrap"/>
      </w:pPr>
    </w:p>
    <w:p w:rsidR="002F5364" w:rsidRDefault="008E17AB" w:rsidP="002F5364">
      <w:pPr>
        <w:pStyle w:val="whitespace-pre-wrap"/>
      </w:pPr>
      <w:r>
        <w:rPr>
          <w:noProof/>
        </w:rPr>
        <w:lastRenderedPageBreak/>
        <w:drawing>
          <wp:inline distT="0" distB="0" distL="0" distR="0">
            <wp:extent cx="1925794" cy="2979420"/>
            <wp:effectExtent l="19050" t="0" r="0" b="0"/>
            <wp:docPr id="3" name="Image 4" descr="https://cdn.prod.website-files.com/634d67d49665eb7c94115cab/636bddef44ef177050b2920f_61f982bdd7a511d6cbf1d3dc_carl-rogers-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dn.prod.website-files.com/634d67d49665eb7c94115cab/636bddef44ef177050b2920f_61f982bdd7a511d6cbf1d3dc_carl-rogers-1.jpeg"/>
                    <pic:cNvPicPr>
                      <a:picLocks noChangeAspect="1" noChangeArrowheads="1"/>
                    </pic:cNvPicPr>
                  </pic:nvPicPr>
                  <pic:blipFill>
                    <a:blip r:embed="rId17"/>
                    <a:srcRect/>
                    <a:stretch>
                      <a:fillRect/>
                    </a:stretch>
                  </pic:blipFill>
                  <pic:spPr bwMode="auto">
                    <a:xfrm>
                      <a:off x="0" y="0"/>
                      <a:ext cx="1925794" cy="2979420"/>
                    </a:xfrm>
                    <a:prstGeom prst="rect">
                      <a:avLst/>
                    </a:prstGeom>
                    <a:noFill/>
                    <a:ln w="9525">
                      <a:noFill/>
                      <a:miter lim="800000"/>
                      <a:headEnd/>
                      <a:tailEnd/>
                    </a:ln>
                  </pic:spPr>
                </pic:pic>
              </a:graphicData>
            </a:graphic>
          </wp:inline>
        </w:drawing>
      </w:r>
    </w:p>
    <w:p w:rsidR="00182093" w:rsidRPr="00037F31" w:rsidRDefault="00182093" w:rsidP="002F5364">
      <w:pPr>
        <w:pStyle w:val="whitespace-pre-wrap"/>
      </w:pPr>
      <w:r>
        <w:rPr>
          <w:noProof/>
        </w:rPr>
        <w:drawing>
          <wp:inline distT="0" distB="0" distL="0" distR="0">
            <wp:extent cx="3813810" cy="1020128"/>
            <wp:effectExtent l="19050" t="0" r="0" b="0"/>
            <wp:docPr id="5" name="Image 7" descr="https://slideplayer.fr/slide/519656/2/images/10/L+alliance+th%C3%A9rapeutique+quelle+est+la+diff%C3%A9rence+entre+les+deu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lideplayer.fr/slide/519656/2/images/10/L+alliance+th%C3%A9rapeutique+quelle+est+la+diff%C3%A9rence+entre+les+deux.jpg"/>
                    <pic:cNvPicPr>
                      <a:picLocks noChangeAspect="1" noChangeArrowheads="1"/>
                    </pic:cNvPicPr>
                  </pic:nvPicPr>
                  <pic:blipFill>
                    <a:blip r:embed="rId18" cstate="print"/>
                    <a:srcRect/>
                    <a:stretch>
                      <a:fillRect/>
                    </a:stretch>
                  </pic:blipFill>
                  <pic:spPr bwMode="auto">
                    <a:xfrm>
                      <a:off x="0" y="0"/>
                      <a:ext cx="3814177" cy="1020226"/>
                    </a:xfrm>
                    <a:prstGeom prst="rect">
                      <a:avLst/>
                    </a:prstGeom>
                    <a:noFill/>
                    <a:ln w="9525">
                      <a:noFill/>
                      <a:miter lim="800000"/>
                      <a:headEnd/>
                      <a:tailEnd/>
                    </a:ln>
                  </pic:spPr>
                </pic:pic>
              </a:graphicData>
            </a:graphic>
          </wp:inline>
        </w:drawing>
      </w:r>
    </w:p>
    <w:sectPr w:rsidR="00182093" w:rsidRPr="00037F31" w:rsidSect="009E2BD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oppins">
    <w:altName w:val="Times New Roman"/>
    <w:panose1 w:val="00000000000000000000"/>
    <w:charset w:val="00"/>
    <w:family w:val="roman"/>
    <w:notTrueType/>
    <w:pitch w:val="default"/>
    <w:sig w:usb0="00000000" w:usb1="00000000" w:usb2="00000000" w:usb3="00000000" w:csb0="00000000" w:csb1="00000000"/>
  </w:font>
  <w:font w:name="var(--heading-font-font-family)">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B521D"/>
    <w:multiLevelType w:val="hybridMultilevel"/>
    <w:tmpl w:val="57A611E2"/>
    <w:lvl w:ilvl="0" w:tplc="AF7244A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hyphenationZone w:val="425"/>
  <w:characterSpacingControl w:val="doNotCompress"/>
  <w:compat/>
  <w:rsids>
    <w:rsidRoot w:val="00037F31"/>
    <w:rsid w:val="000148AE"/>
    <w:rsid w:val="00022BA6"/>
    <w:rsid w:val="00037F31"/>
    <w:rsid w:val="00182093"/>
    <w:rsid w:val="00222BDD"/>
    <w:rsid w:val="00243C7A"/>
    <w:rsid w:val="002F5364"/>
    <w:rsid w:val="00595A2A"/>
    <w:rsid w:val="007101E6"/>
    <w:rsid w:val="008E17AB"/>
    <w:rsid w:val="00906DDE"/>
    <w:rsid w:val="00953839"/>
    <w:rsid w:val="009E2BDC"/>
    <w:rsid w:val="00A80BC9"/>
    <w:rsid w:val="00A94FDA"/>
    <w:rsid w:val="00C375F4"/>
    <w:rsid w:val="00CD6397"/>
    <w:rsid w:val="00D15802"/>
    <w:rsid w:val="00F15EDA"/>
    <w:rsid w:val="00F9465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F31"/>
  </w:style>
  <w:style w:type="paragraph" w:styleId="Titre3">
    <w:name w:val="heading 3"/>
    <w:basedOn w:val="Normal"/>
    <w:link w:val="Titre3Car"/>
    <w:uiPriority w:val="9"/>
    <w:qFormat/>
    <w:rsid w:val="00243C7A"/>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037F31"/>
    <w:rPr>
      <w:b/>
      <w:bCs/>
    </w:rPr>
  </w:style>
  <w:style w:type="paragraph" w:customStyle="1" w:styleId="whitespace-pre-wrap">
    <w:name w:val="whitespace-pre-wrap"/>
    <w:basedOn w:val="Normal"/>
    <w:rsid w:val="00037F3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D1580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15802"/>
    <w:rPr>
      <w:rFonts w:ascii="Tahoma" w:hAnsi="Tahoma" w:cs="Tahoma"/>
      <w:sz w:val="16"/>
      <w:szCs w:val="16"/>
    </w:rPr>
  </w:style>
  <w:style w:type="character" w:customStyle="1" w:styleId="Titre3Car">
    <w:name w:val="Titre 3 Car"/>
    <w:basedOn w:val="Policepardfaut"/>
    <w:link w:val="Titre3"/>
    <w:uiPriority w:val="9"/>
    <w:rsid w:val="00243C7A"/>
    <w:rPr>
      <w:rFonts w:ascii="Times New Roman" w:eastAsia="Times New Roman" w:hAnsi="Times New Roman" w:cs="Times New Roman"/>
      <w:b/>
      <w:bCs/>
      <w:sz w:val="27"/>
      <w:szCs w:val="27"/>
      <w:lang w:eastAsia="fr-FR"/>
    </w:rPr>
  </w:style>
  <w:style w:type="table" w:styleId="Grilledutableau">
    <w:name w:val="Table Grid"/>
    <w:basedOn w:val="TableauNormal"/>
    <w:uiPriority w:val="59"/>
    <w:rsid w:val="00F946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3906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431</TotalTime>
  <Pages>12</Pages>
  <Words>932</Words>
  <Characters>5128</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nag rah</dc:creator>
  <cp:lastModifiedBy>nag rah</cp:lastModifiedBy>
  <cp:revision>9</cp:revision>
  <dcterms:created xsi:type="dcterms:W3CDTF">2024-10-20T21:36:00Z</dcterms:created>
  <dcterms:modified xsi:type="dcterms:W3CDTF">2024-10-26T01:48:00Z</dcterms:modified>
</cp:coreProperties>
</file>