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E31CA" w14:textId="77777777" w:rsidR="00A45EBA" w:rsidRDefault="00A45EBA"/>
    <w:p w14:paraId="17F7C69C" w14:textId="23092B56" w:rsidR="00A45EBA" w:rsidRPr="00A45EBA" w:rsidRDefault="00A45EBA" w:rsidP="00A45EBA">
      <w:pPr>
        <w:jc w:val="center"/>
        <w:rPr>
          <w:rFonts w:ascii="Comic Sans MS" w:hAnsi="Comic Sans MS"/>
          <w:b/>
          <w:bCs/>
          <w:i/>
          <w:iCs/>
          <w:sz w:val="24"/>
          <w:szCs w:val="24"/>
          <w:u w:val="single"/>
        </w:rPr>
      </w:pPr>
      <w:r w:rsidRPr="00A45EBA">
        <w:rPr>
          <w:rFonts w:ascii="Comic Sans MS" w:hAnsi="Comic Sans MS"/>
          <w:b/>
          <w:bCs/>
          <w:i/>
          <w:iCs/>
          <w:sz w:val="24"/>
          <w:szCs w:val="24"/>
          <w:u w:val="single"/>
        </w:rPr>
        <w:t>INTRODUCTION</w:t>
      </w:r>
    </w:p>
    <w:p w14:paraId="06A116EF" w14:textId="0CDD4417" w:rsidR="00A45EBA" w:rsidRPr="00A45EBA" w:rsidRDefault="00A45EBA" w:rsidP="00A45EBA">
      <w:pPr>
        <w:shd w:val="clear" w:color="auto" w:fill="FFFFFF"/>
        <w:spacing w:after="180" w:line="240" w:lineRule="auto"/>
        <w:ind w:left="150"/>
        <w:jc w:val="both"/>
        <w:rPr>
          <w:rFonts w:ascii="Comic Sans MS" w:eastAsia="Times New Roman" w:hAnsi="Comic Sans MS" w:cs="Times New Roman"/>
          <w:color w:val="333333"/>
          <w:spacing w:val="3"/>
          <w:kern w:val="0"/>
          <w:sz w:val="24"/>
          <w:szCs w:val="24"/>
          <w:lang w:eastAsia="fr-FR"/>
          <w14:ligatures w14:val="none"/>
        </w:rPr>
      </w:pPr>
      <w:r w:rsidRPr="00A45EBA">
        <w:rPr>
          <w:rFonts w:ascii="Comic Sans MS" w:eastAsia="Times New Roman" w:hAnsi="Comic Sans MS" w:cs="Times New Roman"/>
          <w:color w:val="333333"/>
          <w:spacing w:val="3"/>
          <w:kern w:val="0"/>
          <w:sz w:val="24"/>
          <w:szCs w:val="24"/>
          <w:lang w:eastAsia="fr-FR"/>
          <w14:ligatures w14:val="none"/>
        </w:rPr>
        <w:t>L’analyse du cycle de vie d’un produit varie selon le secteur d’activité concerné. Dans le secteur tertiaire, elle permet d’évaluer les phases par lesquelles passe généralement un produit lors de sa mise sur le marché (lancement, croissance, maturité</w:t>
      </w:r>
      <w:r>
        <w:rPr>
          <w:rFonts w:ascii="Comic Sans MS" w:eastAsia="Times New Roman" w:hAnsi="Comic Sans MS" w:cs="Times New Roman"/>
          <w:color w:val="333333"/>
          <w:spacing w:val="3"/>
          <w:kern w:val="0"/>
          <w:sz w:val="24"/>
          <w:szCs w:val="24"/>
          <w:lang w:eastAsia="fr-FR"/>
          <w14:ligatures w14:val="none"/>
        </w:rPr>
        <w:t xml:space="preserve"> </w:t>
      </w:r>
      <w:r w:rsidRPr="00A45EBA">
        <w:rPr>
          <w:rFonts w:ascii="Comic Sans MS" w:eastAsia="Times New Roman" w:hAnsi="Comic Sans MS" w:cs="Times New Roman"/>
          <w:color w:val="333333"/>
          <w:spacing w:val="3"/>
          <w:kern w:val="0"/>
          <w:sz w:val="24"/>
          <w:szCs w:val="24"/>
          <w:lang w:eastAsia="fr-FR"/>
          <w14:ligatures w14:val="none"/>
        </w:rPr>
        <w:t>et déclin).</w:t>
      </w:r>
      <w:r w:rsidRPr="00A45EBA">
        <w:rPr>
          <w:rFonts w:ascii="Comic Sans MS" w:eastAsia="Times New Roman" w:hAnsi="Comic Sans MS" w:cs="Times New Roman"/>
          <w:color w:val="333333"/>
          <w:spacing w:val="3"/>
          <w:kern w:val="0"/>
          <w:sz w:val="24"/>
          <w:szCs w:val="24"/>
          <w:lang w:eastAsia="fr-FR"/>
          <w14:ligatures w14:val="none"/>
        </w:rPr>
        <w:br/>
        <w:t>Dans le secteur industriel en revanche, l’analyse s’apparente davantage à une méthode scientifique et objective qui permet de mesurer les impacts d’un produit tout au long de son cycle de vie.</w:t>
      </w:r>
    </w:p>
    <w:p w14:paraId="6CF98392" w14:textId="77777777" w:rsidR="00A45EBA" w:rsidRPr="00A45EBA" w:rsidRDefault="00A45EBA" w:rsidP="00A45EBA">
      <w:pPr>
        <w:shd w:val="clear" w:color="auto" w:fill="FFFFFF"/>
        <w:spacing w:after="0" w:line="240" w:lineRule="auto"/>
        <w:ind w:left="150"/>
        <w:jc w:val="both"/>
        <w:rPr>
          <w:rFonts w:ascii="Comic Sans MS" w:eastAsia="Times New Roman" w:hAnsi="Comic Sans MS" w:cs="Times New Roman"/>
          <w:color w:val="333333"/>
          <w:spacing w:val="3"/>
          <w:kern w:val="0"/>
          <w:sz w:val="24"/>
          <w:szCs w:val="24"/>
          <w:lang w:eastAsia="fr-FR"/>
          <w14:ligatures w14:val="none"/>
        </w:rPr>
      </w:pPr>
      <w:r w:rsidRPr="00A45EBA">
        <w:rPr>
          <w:rFonts w:ascii="Comic Sans MS" w:eastAsia="Times New Roman" w:hAnsi="Comic Sans MS" w:cs="Times New Roman"/>
          <w:color w:val="333333"/>
          <w:spacing w:val="3"/>
          <w:kern w:val="0"/>
          <w:sz w:val="24"/>
          <w:szCs w:val="24"/>
          <w:lang w:eastAsia="fr-FR"/>
          <w14:ligatures w14:val="none"/>
        </w:rPr>
        <w:t>A travers l’exemple des </w:t>
      </w:r>
      <w:hyperlink r:id="rId4" w:tooltip="Agorespace est l'inventeur du concept de city stade (1989)" w:history="1">
        <w:r w:rsidRPr="00A45EBA">
          <w:rPr>
            <w:rFonts w:ascii="Comic Sans MS" w:eastAsia="Times New Roman" w:hAnsi="Comic Sans MS" w:cs="Times New Roman"/>
            <w:color w:val="337AB7"/>
            <w:spacing w:val="3"/>
            <w:kern w:val="0"/>
            <w:sz w:val="24"/>
            <w:szCs w:val="24"/>
            <w:u w:val="single"/>
            <w:bdr w:val="none" w:sz="0" w:space="0" w:color="auto" w:frame="1"/>
            <w:lang w:eastAsia="fr-FR"/>
            <w14:ligatures w14:val="none"/>
          </w:rPr>
          <w:t xml:space="preserve">city stade </w:t>
        </w:r>
        <w:proofErr w:type="spellStart"/>
        <w:r w:rsidRPr="00A45EBA">
          <w:rPr>
            <w:rFonts w:ascii="Comic Sans MS" w:eastAsia="Times New Roman" w:hAnsi="Comic Sans MS" w:cs="Times New Roman"/>
            <w:color w:val="337AB7"/>
            <w:spacing w:val="3"/>
            <w:kern w:val="0"/>
            <w:sz w:val="24"/>
            <w:szCs w:val="24"/>
            <w:u w:val="single"/>
            <w:bdr w:val="none" w:sz="0" w:space="0" w:color="auto" w:frame="1"/>
            <w:lang w:eastAsia="fr-FR"/>
            <w14:ligatures w14:val="none"/>
          </w:rPr>
          <w:t>Agorespace</w:t>
        </w:r>
        <w:proofErr w:type="spellEnd"/>
      </w:hyperlink>
      <w:r w:rsidRPr="00A45EBA">
        <w:rPr>
          <w:rFonts w:ascii="Comic Sans MS" w:eastAsia="Times New Roman" w:hAnsi="Comic Sans MS" w:cs="Times New Roman"/>
          <w:color w:val="333333"/>
          <w:spacing w:val="3"/>
          <w:kern w:val="0"/>
          <w:sz w:val="24"/>
          <w:szCs w:val="24"/>
          <w:lang w:eastAsia="fr-FR"/>
          <w14:ligatures w14:val="none"/>
        </w:rPr>
        <w:t>, nous retracerons le cycle de vie d’un produit depuis l’extraction de matières premières jusqu’au recyclage.</w:t>
      </w:r>
    </w:p>
    <w:p w14:paraId="3B397372" w14:textId="77777777" w:rsidR="00A45EBA" w:rsidRPr="00A45EBA" w:rsidRDefault="00A45EBA" w:rsidP="00A45EBA">
      <w:pPr>
        <w:shd w:val="clear" w:color="auto" w:fill="FFFFFF"/>
        <w:spacing w:after="0" w:line="240" w:lineRule="auto"/>
        <w:rPr>
          <w:rFonts w:ascii="Arial" w:eastAsia="Times New Roman" w:hAnsi="Arial" w:cs="Arial"/>
          <w:color w:val="333333"/>
          <w:kern w:val="0"/>
          <w:sz w:val="23"/>
          <w:szCs w:val="23"/>
          <w:lang w:eastAsia="fr-FR"/>
          <w14:ligatures w14:val="none"/>
        </w:rPr>
      </w:pPr>
      <w:r w:rsidRPr="00A45EBA">
        <w:rPr>
          <w:rFonts w:ascii="Arial" w:eastAsia="Times New Roman" w:hAnsi="Arial" w:cs="Arial"/>
          <w:noProof/>
          <w:color w:val="333333"/>
          <w:kern w:val="0"/>
          <w:sz w:val="23"/>
          <w:szCs w:val="23"/>
          <w:lang w:eastAsia="fr-FR"/>
          <w14:ligatures w14:val="none"/>
        </w:rPr>
        <w:drawing>
          <wp:inline distT="0" distB="0" distL="0" distR="0" wp14:anchorId="7A3F972B" wp14:editId="74973E82">
            <wp:extent cx="5821680" cy="6065520"/>
            <wp:effectExtent l="0" t="0" r="7620" b="0"/>
            <wp:docPr id="7" name="Image 6" descr="Source : Fondation Léa 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ource : Fondation Léa Na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21680" cy="6065520"/>
                    </a:xfrm>
                    <a:prstGeom prst="rect">
                      <a:avLst/>
                    </a:prstGeom>
                    <a:noFill/>
                    <a:ln>
                      <a:noFill/>
                    </a:ln>
                  </pic:spPr>
                </pic:pic>
              </a:graphicData>
            </a:graphic>
          </wp:inline>
        </w:drawing>
      </w:r>
    </w:p>
    <w:p w14:paraId="1E64226D" w14:textId="77777777" w:rsidR="00A45EBA" w:rsidRPr="00A45EBA" w:rsidRDefault="00A45EBA" w:rsidP="00A45EBA">
      <w:pPr>
        <w:shd w:val="clear" w:color="auto" w:fill="FFFFFF"/>
        <w:spacing w:after="0" w:line="240" w:lineRule="auto"/>
        <w:jc w:val="both"/>
        <w:outlineLvl w:val="2"/>
        <w:rPr>
          <w:rFonts w:ascii="Comic Sans MS" w:eastAsia="Times New Roman" w:hAnsi="Comic Sans MS" w:cs="Arial"/>
          <w:color w:val="333333"/>
          <w:kern w:val="0"/>
          <w:sz w:val="24"/>
          <w:szCs w:val="24"/>
          <w:lang w:eastAsia="fr-FR"/>
          <w14:ligatures w14:val="none"/>
        </w:rPr>
      </w:pPr>
      <w:r w:rsidRPr="00A45EBA">
        <w:rPr>
          <w:rFonts w:ascii="Comic Sans MS" w:eastAsia="Times New Roman" w:hAnsi="Comic Sans MS" w:cs="Arial"/>
          <w:color w:val="333333"/>
          <w:kern w:val="0"/>
          <w:sz w:val="24"/>
          <w:szCs w:val="24"/>
          <w:lang w:eastAsia="fr-FR"/>
          <w14:ligatures w14:val="none"/>
        </w:rPr>
        <w:lastRenderedPageBreak/>
        <w:t>1. L’extraction de matières premières</w:t>
      </w:r>
    </w:p>
    <w:p w14:paraId="028961BB" w14:textId="77777777" w:rsidR="00A45EBA" w:rsidRPr="00A45EBA" w:rsidRDefault="00A45EBA" w:rsidP="00A45EBA">
      <w:pPr>
        <w:shd w:val="clear" w:color="auto" w:fill="FFFFFF"/>
        <w:spacing w:after="180" w:line="240" w:lineRule="auto"/>
        <w:ind w:left="150"/>
        <w:jc w:val="both"/>
        <w:rPr>
          <w:rFonts w:ascii="Comic Sans MS" w:eastAsia="Times New Roman" w:hAnsi="Comic Sans MS" w:cs="Times New Roman"/>
          <w:color w:val="333333"/>
          <w:spacing w:val="3"/>
          <w:kern w:val="0"/>
          <w:sz w:val="24"/>
          <w:szCs w:val="24"/>
          <w:lang w:eastAsia="fr-FR"/>
          <w14:ligatures w14:val="none"/>
        </w:rPr>
      </w:pPr>
      <w:r w:rsidRPr="00A45EBA">
        <w:rPr>
          <w:rFonts w:ascii="Comic Sans MS" w:eastAsia="Times New Roman" w:hAnsi="Comic Sans MS" w:cs="Times New Roman"/>
          <w:color w:val="333333"/>
          <w:spacing w:val="3"/>
          <w:kern w:val="0"/>
          <w:sz w:val="24"/>
          <w:szCs w:val="24"/>
          <w:lang w:eastAsia="fr-FR"/>
          <w14:ligatures w14:val="none"/>
        </w:rPr>
        <w:t>Le cycle de vie d’un produit comme le city stade (terrain multisport) débute par l’extraction de matières premières : bois, latex, sable, polypropène, aluminium…</w:t>
      </w:r>
    </w:p>
    <w:p w14:paraId="6B76E3E6" w14:textId="77777777" w:rsidR="00A45EBA" w:rsidRPr="00A45EBA" w:rsidRDefault="00A45EBA" w:rsidP="00A45EBA">
      <w:pPr>
        <w:shd w:val="clear" w:color="auto" w:fill="FFFFFF"/>
        <w:spacing w:after="0" w:line="240" w:lineRule="auto"/>
        <w:jc w:val="both"/>
        <w:outlineLvl w:val="2"/>
        <w:rPr>
          <w:rFonts w:ascii="Comic Sans MS" w:eastAsia="Times New Roman" w:hAnsi="Comic Sans MS" w:cs="Arial"/>
          <w:color w:val="333333"/>
          <w:kern w:val="0"/>
          <w:sz w:val="24"/>
          <w:szCs w:val="24"/>
          <w:lang w:eastAsia="fr-FR"/>
          <w14:ligatures w14:val="none"/>
        </w:rPr>
      </w:pPr>
      <w:r w:rsidRPr="00A45EBA">
        <w:rPr>
          <w:rFonts w:ascii="Comic Sans MS" w:eastAsia="Times New Roman" w:hAnsi="Comic Sans MS" w:cs="Arial"/>
          <w:color w:val="333333"/>
          <w:kern w:val="0"/>
          <w:sz w:val="24"/>
          <w:szCs w:val="24"/>
          <w:lang w:eastAsia="fr-FR"/>
          <w14:ligatures w14:val="none"/>
        </w:rPr>
        <w:t>2. La fabrication</w:t>
      </w:r>
    </w:p>
    <w:p w14:paraId="4B11EBC3" w14:textId="77777777" w:rsidR="00A45EBA" w:rsidRPr="00A45EBA" w:rsidRDefault="00A45EBA" w:rsidP="00A45EBA">
      <w:pPr>
        <w:shd w:val="clear" w:color="auto" w:fill="FFFFFF"/>
        <w:spacing w:after="180" w:line="240" w:lineRule="auto"/>
        <w:ind w:left="150"/>
        <w:jc w:val="both"/>
        <w:rPr>
          <w:rFonts w:ascii="Comic Sans MS" w:eastAsia="Times New Roman" w:hAnsi="Comic Sans MS" w:cs="Times New Roman"/>
          <w:color w:val="333333"/>
          <w:spacing w:val="3"/>
          <w:kern w:val="0"/>
          <w:sz w:val="24"/>
          <w:szCs w:val="24"/>
          <w:lang w:eastAsia="fr-FR"/>
          <w14:ligatures w14:val="none"/>
        </w:rPr>
      </w:pPr>
      <w:r w:rsidRPr="00A45EBA">
        <w:rPr>
          <w:rFonts w:ascii="Comic Sans MS" w:eastAsia="Times New Roman" w:hAnsi="Comic Sans MS" w:cs="Times New Roman"/>
          <w:color w:val="333333"/>
          <w:spacing w:val="3"/>
          <w:kern w:val="0"/>
          <w:sz w:val="24"/>
          <w:szCs w:val="24"/>
          <w:lang w:eastAsia="fr-FR"/>
          <w14:ligatures w14:val="none"/>
        </w:rPr>
        <w:t>La phase de fabrication requière la mise en place de procédés, le traitement de surface et l’assemblage.</w:t>
      </w:r>
    </w:p>
    <w:p w14:paraId="098E7654" w14:textId="77777777" w:rsidR="00A45EBA" w:rsidRPr="00A45EBA" w:rsidRDefault="00A45EBA" w:rsidP="00A45EBA">
      <w:pPr>
        <w:shd w:val="clear" w:color="auto" w:fill="FFFFFF"/>
        <w:spacing w:after="0" w:line="240" w:lineRule="auto"/>
        <w:jc w:val="both"/>
        <w:outlineLvl w:val="2"/>
        <w:rPr>
          <w:rFonts w:ascii="Comic Sans MS" w:eastAsia="Times New Roman" w:hAnsi="Comic Sans MS" w:cs="Arial"/>
          <w:color w:val="333333"/>
          <w:kern w:val="0"/>
          <w:sz w:val="24"/>
          <w:szCs w:val="24"/>
          <w:lang w:eastAsia="fr-FR"/>
          <w14:ligatures w14:val="none"/>
        </w:rPr>
      </w:pPr>
      <w:r w:rsidRPr="00A45EBA">
        <w:rPr>
          <w:rFonts w:ascii="Comic Sans MS" w:eastAsia="Times New Roman" w:hAnsi="Comic Sans MS" w:cs="Arial"/>
          <w:color w:val="333333"/>
          <w:kern w:val="0"/>
          <w:sz w:val="24"/>
          <w:szCs w:val="24"/>
          <w:lang w:eastAsia="fr-FR"/>
          <w14:ligatures w14:val="none"/>
        </w:rPr>
        <w:t>3. Le transport et la distribution</w:t>
      </w:r>
    </w:p>
    <w:p w14:paraId="395E29DE" w14:textId="77777777" w:rsidR="00A45EBA" w:rsidRPr="00A45EBA" w:rsidRDefault="00A45EBA" w:rsidP="00A45EBA">
      <w:pPr>
        <w:shd w:val="clear" w:color="auto" w:fill="FFFFFF"/>
        <w:spacing w:after="180" w:line="240" w:lineRule="auto"/>
        <w:ind w:left="150"/>
        <w:jc w:val="both"/>
        <w:rPr>
          <w:rFonts w:ascii="Comic Sans MS" w:eastAsia="Times New Roman" w:hAnsi="Comic Sans MS" w:cs="Times New Roman"/>
          <w:color w:val="333333"/>
          <w:spacing w:val="3"/>
          <w:kern w:val="0"/>
          <w:sz w:val="24"/>
          <w:szCs w:val="24"/>
          <w:lang w:eastAsia="fr-FR"/>
          <w14:ligatures w14:val="none"/>
        </w:rPr>
      </w:pPr>
      <w:r w:rsidRPr="00A45EBA">
        <w:rPr>
          <w:rFonts w:ascii="Comic Sans MS" w:eastAsia="Times New Roman" w:hAnsi="Comic Sans MS" w:cs="Times New Roman"/>
          <w:color w:val="333333"/>
          <w:spacing w:val="3"/>
          <w:kern w:val="0"/>
          <w:sz w:val="24"/>
          <w:szCs w:val="24"/>
          <w:lang w:eastAsia="fr-FR"/>
          <w14:ligatures w14:val="none"/>
        </w:rPr>
        <w:t>Avant l’utilisation du produit, celui-ci doit être transporté et installé.</w:t>
      </w:r>
    </w:p>
    <w:p w14:paraId="6C78E9B6" w14:textId="77777777" w:rsidR="00A45EBA" w:rsidRPr="00A45EBA" w:rsidRDefault="00A45EBA" w:rsidP="00A45EBA">
      <w:pPr>
        <w:shd w:val="clear" w:color="auto" w:fill="FFFFFF"/>
        <w:spacing w:after="0" w:line="240" w:lineRule="auto"/>
        <w:jc w:val="both"/>
        <w:outlineLvl w:val="2"/>
        <w:rPr>
          <w:rFonts w:ascii="Comic Sans MS" w:eastAsia="Times New Roman" w:hAnsi="Comic Sans MS" w:cs="Arial"/>
          <w:color w:val="333333"/>
          <w:kern w:val="0"/>
          <w:sz w:val="24"/>
          <w:szCs w:val="24"/>
          <w:lang w:eastAsia="fr-FR"/>
          <w14:ligatures w14:val="none"/>
        </w:rPr>
      </w:pPr>
      <w:r w:rsidRPr="00A45EBA">
        <w:rPr>
          <w:rFonts w:ascii="Comic Sans MS" w:eastAsia="Times New Roman" w:hAnsi="Comic Sans MS" w:cs="Arial"/>
          <w:color w:val="333333"/>
          <w:kern w:val="0"/>
          <w:sz w:val="24"/>
          <w:szCs w:val="24"/>
          <w:lang w:eastAsia="fr-FR"/>
          <w14:ligatures w14:val="none"/>
        </w:rPr>
        <w:t>4. L’utilisation</w:t>
      </w:r>
    </w:p>
    <w:p w14:paraId="75AAD091" w14:textId="77777777" w:rsidR="00A45EBA" w:rsidRPr="00A45EBA" w:rsidRDefault="00A45EBA" w:rsidP="00A45EBA">
      <w:pPr>
        <w:shd w:val="clear" w:color="auto" w:fill="FFFFFF"/>
        <w:spacing w:after="180" w:line="240" w:lineRule="auto"/>
        <w:ind w:left="150"/>
        <w:jc w:val="both"/>
        <w:rPr>
          <w:rFonts w:ascii="Comic Sans MS" w:eastAsia="Times New Roman" w:hAnsi="Comic Sans MS" w:cs="Times New Roman"/>
          <w:color w:val="333333"/>
          <w:spacing w:val="3"/>
          <w:kern w:val="0"/>
          <w:sz w:val="24"/>
          <w:szCs w:val="24"/>
          <w:lang w:eastAsia="fr-FR"/>
          <w14:ligatures w14:val="none"/>
        </w:rPr>
      </w:pPr>
      <w:r w:rsidRPr="00A45EBA">
        <w:rPr>
          <w:rFonts w:ascii="Comic Sans MS" w:eastAsia="Times New Roman" w:hAnsi="Comic Sans MS" w:cs="Times New Roman"/>
          <w:color w:val="333333"/>
          <w:spacing w:val="3"/>
          <w:kern w:val="0"/>
          <w:sz w:val="24"/>
          <w:szCs w:val="24"/>
          <w:lang w:eastAsia="fr-FR"/>
          <w14:ligatures w14:val="none"/>
        </w:rPr>
        <w:t>L’utilisation d’un terrain de sport ou d’une aire de jeux est fixée à 20 ans minimum, avec une moyenne d’utilisation de 3 heures par jours, 365 jours par an.</w:t>
      </w:r>
    </w:p>
    <w:p w14:paraId="351048C8" w14:textId="77777777" w:rsidR="00A45EBA" w:rsidRPr="00A45EBA" w:rsidRDefault="00A45EBA" w:rsidP="00A45EBA">
      <w:pPr>
        <w:shd w:val="clear" w:color="auto" w:fill="FFFFFF"/>
        <w:spacing w:after="0" w:line="240" w:lineRule="auto"/>
        <w:jc w:val="both"/>
        <w:outlineLvl w:val="2"/>
        <w:rPr>
          <w:rFonts w:ascii="Comic Sans MS" w:eastAsia="Times New Roman" w:hAnsi="Comic Sans MS" w:cs="Arial"/>
          <w:color w:val="333333"/>
          <w:kern w:val="0"/>
          <w:sz w:val="24"/>
          <w:szCs w:val="24"/>
          <w:lang w:eastAsia="fr-FR"/>
          <w14:ligatures w14:val="none"/>
        </w:rPr>
      </w:pPr>
      <w:r w:rsidRPr="00A45EBA">
        <w:rPr>
          <w:rFonts w:ascii="Comic Sans MS" w:eastAsia="Times New Roman" w:hAnsi="Comic Sans MS" w:cs="Arial"/>
          <w:color w:val="333333"/>
          <w:kern w:val="0"/>
          <w:sz w:val="24"/>
          <w:szCs w:val="24"/>
          <w:lang w:eastAsia="fr-FR"/>
          <w14:ligatures w14:val="none"/>
        </w:rPr>
        <w:t>5. La fin de vie</w:t>
      </w:r>
    </w:p>
    <w:p w14:paraId="4CC4EF1B" w14:textId="77777777" w:rsidR="00A45EBA" w:rsidRPr="00A45EBA" w:rsidRDefault="00A45EBA" w:rsidP="00A45EBA">
      <w:pPr>
        <w:shd w:val="clear" w:color="auto" w:fill="FFFFFF"/>
        <w:spacing w:after="0" w:line="240" w:lineRule="auto"/>
        <w:ind w:left="150"/>
        <w:jc w:val="both"/>
        <w:rPr>
          <w:rFonts w:ascii="Comic Sans MS" w:eastAsia="Times New Roman" w:hAnsi="Comic Sans MS" w:cs="Times New Roman"/>
          <w:color w:val="333333"/>
          <w:spacing w:val="3"/>
          <w:kern w:val="0"/>
          <w:sz w:val="24"/>
          <w:szCs w:val="24"/>
          <w:lang w:eastAsia="fr-FR"/>
          <w14:ligatures w14:val="none"/>
        </w:rPr>
      </w:pPr>
      <w:r w:rsidRPr="00A45EBA">
        <w:rPr>
          <w:rFonts w:ascii="Comic Sans MS" w:eastAsia="Times New Roman" w:hAnsi="Comic Sans MS" w:cs="Times New Roman"/>
          <w:color w:val="333333"/>
          <w:spacing w:val="3"/>
          <w:kern w:val="0"/>
          <w:sz w:val="24"/>
          <w:szCs w:val="24"/>
          <w:lang w:eastAsia="fr-FR"/>
          <w14:ligatures w14:val="none"/>
        </w:rPr>
        <w:t>La fin du cycle se clôture avec le traitement des déchets liés à la </w:t>
      </w:r>
      <w:hyperlink r:id="rId6" w:tooltip="Construire une aire de jeux adaptable à différents besoins" w:history="1">
        <w:r w:rsidRPr="00A45EBA">
          <w:rPr>
            <w:rFonts w:ascii="Comic Sans MS" w:eastAsia="Times New Roman" w:hAnsi="Comic Sans MS" w:cs="Times New Roman"/>
            <w:color w:val="337AB7"/>
            <w:spacing w:val="3"/>
            <w:kern w:val="0"/>
            <w:sz w:val="24"/>
            <w:szCs w:val="24"/>
            <w:u w:val="single"/>
            <w:bdr w:val="none" w:sz="0" w:space="0" w:color="auto" w:frame="1"/>
            <w:lang w:eastAsia="fr-FR"/>
            <w14:ligatures w14:val="none"/>
          </w:rPr>
          <w:t>construction d’aires de jeux</w:t>
        </w:r>
      </w:hyperlink>
      <w:r w:rsidRPr="00A45EBA">
        <w:rPr>
          <w:rFonts w:ascii="Comic Sans MS" w:eastAsia="Times New Roman" w:hAnsi="Comic Sans MS" w:cs="Times New Roman"/>
          <w:color w:val="333333"/>
          <w:spacing w:val="3"/>
          <w:kern w:val="0"/>
          <w:sz w:val="24"/>
          <w:szCs w:val="24"/>
          <w:lang w:eastAsia="fr-FR"/>
          <w14:ligatures w14:val="none"/>
        </w:rPr>
        <w:t> ou d’un terrain, puis à son recyclage.</w:t>
      </w:r>
    </w:p>
    <w:p w14:paraId="3A15BF77" w14:textId="77777777" w:rsidR="00A45EBA" w:rsidRPr="00A45EBA" w:rsidRDefault="00A45EBA" w:rsidP="00A45EBA">
      <w:pPr>
        <w:shd w:val="clear" w:color="auto" w:fill="FFFFFF"/>
        <w:spacing w:after="180" w:line="240" w:lineRule="auto"/>
        <w:ind w:left="150"/>
        <w:rPr>
          <w:rFonts w:ascii="Lato" w:eastAsia="Times New Roman" w:hAnsi="Lato" w:cs="Times New Roman"/>
          <w:color w:val="333333"/>
          <w:spacing w:val="3"/>
          <w:kern w:val="0"/>
          <w:sz w:val="23"/>
          <w:szCs w:val="23"/>
          <w:lang w:eastAsia="fr-FR"/>
          <w14:ligatures w14:val="none"/>
        </w:rPr>
      </w:pPr>
      <w:r w:rsidRPr="00A45EBA">
        <w:rPr>
          <w:rFonts w:ascii="Lato" w:eastAsia="Times New Roman" w:hAnsi="Lato" w:cs="Times New Roman"/>
          <w:color w:val="333333"/>
          <w:spacing w:val="3"/>
          <w:kern w:val="0"/>
          <w:sz w:val="23"/>
          <w:szCs w:val="23"/>
          <w:lang w:eastAsia="fr-FR"/>
          <w14:ligatures w14:val="none"/>
        </w:rPr>
        <w:t> </w:t>
      </w:r>
    </w:p>
    <w:sectPr w:rsidR="00A45EBA" w:rsidRPr="00A45E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718"/>
    <w:rsid w:val="008F2718"/>
    <w:rsid w:val="00A45EBA"/>
    <w:rsid w:val="00A76F39"/>
    <w:rsid w:val="00B4409D"/>
    <w:rsid w:val="00F45F2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8BE4C"/>
  <w15:chartTrackingRefBased/>
  <w15:docId w15:val="{1CC5ED33-E9F1-4FB1-9761-E17807EE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F27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F27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F271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F271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F271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F271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F271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F271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F271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F271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F271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F271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F271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F271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F271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F271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F271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F2718"/>
    <w:rPr>
      <w:rFonts w:eastAsiaTheme="majorEastAsia" w:cstheme="majorBidi"/>
      <w:color w:val="272727" w:themeColor="text1" w:themeTint="D8"/>
    </w:rPr>
  </w:style>
  <w:style w:type="paragraph" w:styleId="Titre">
    <w:name w:val="Title"/>
    <w:basedOn w:val="Normal"/>
    <w:next w:val="Normal"/>
    <w:link w:val="TitreCar"/>
    <w:uiPriority w:val="10"/>
    <w:qFormat/>
    <w:rsid w:val="008F27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F271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F271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F271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F2718"/>
    <w:pPr>
      <w:spacing w:before="160"/>
      <w:jc w:val="center"/>
    </w:pPr>
    <w:rPr>
      <w:i/>
      <w:iCs/>
      <w:color w:val="404040" w:themeColor="text1" w:themeTint="BF"/>
    </w:rPr>
  </w:style>
  <w:style w:type="character" w:customStyle="1" w:styleId="CitationCar">
    <w:name w:val="Citation Car"/>
    <w:basedOn w:val="Policepardfaut"/>
    <w:link w:val="Citation"/>
    <w:uiPriority w:val="29"/>
    <w:rsid w:val="008F2718"/>
    <w:rPr>
      <w:i/>
      <w:iCs/>
      <w:color w:val="404040" w:themeColor="text1" w:themeTint="BF"/>
    </w:rPr>
  </w:style>
  <w:style w:type="paragraph" w:styleId="Paragraphedeliste">
    <w:name w:val="List Paragraph"/>
    <w:basedOn w:val="Normal"/>
    <w:uiPriority w:val="34"/>
    <w:qFormat/>
    <w:rsid w:val="008F2718"/>
    <w:pPr>
      <w:ind w:left="720"/>
      <w:contextualSpacing/>
    </w:pPr>
  </w:style>
  <w:style w:type="character" w:styleId="Accentuationintense">
    <w:name w:val="Intense Emphasis"/>
    <w:basedOn w:val="Policepardfaut"/>
    <w:uiPriority w:val="21"/>
    <w:qFormat/>
    <w:rsid w:val="008F2718"/>
    <w:rPr>
      <w:i/>
      <w:iCs/>
      <w:color w:val="2F5496" w:themeColor="accent1" w:themeShade="BF"/>
    </w:rPr>
  </w:style>
  <w:style w:type="paragraph" w:styleId="Citationintense">
    <w:name w:val="Intense Quote"/>
    <w:basedOn w:val="Normal"/>
    <w:next w:val="Normal"/>
    <w:link w:val="CitationintenseCar"/>
    <w:uiPriority w:val="30"/>
    <w:qFormat/>
    <w:rsid w:val="008F27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F2718"/>
    <w:rPr>
      <w:i/>
      <w:iCs/>
      <w:color w:val="2F5496" w:themeColor="accent1" w:themeShade="BF"/>
    </w:rPr>
  </w:style>
  <w:style w:type="character" w:styleId="Rfrenceintense">
    <w:name w:val="Intense Reference"/>
    <w:basedOn w:val="Policepardfaut"/>
    <w:uiPriority w:val="32"/>
    <w:qFormat/>
    <w:rsid w:val="008F27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rvice-industrie.fr/quest-ce-que-analyse-cycle-de-vie-produit.html" TargetMode="External"/><Relationship Id="rId5" Type="http://schemas.openxmlformats.org/officeDocument/2006/relationships/image" Target="media/image1.jpeg"/><Relationship Id="rId4" Type="http://schemas.openxmlformats.org/officeDocument/2006/relationships/hyperlink" Target="https://www.service-industrie.fr/quest-ce-que-analyse-cycle-de-vie-produit.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264</Words>
  <Characters>1456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2026-02-19T08:35:00Z</dcterms:created>
  <dcterms:modified xsi:type="dcterms:W3CDTF">2026-02-19T09:37:00Z</dcterms:modified>
</cp:coreProperties>
</file>