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AB9" w:rsidRPr="008F28FA" w:rsidRDefault="003758F7" w:rsidP="003758F7">
      <w:pPr>
        <w:bidi/>
        <w:jc w:val="center"/>
        <w:rPr>
          <w:b/>
          <w:bCs/>
          <w:i/>
          <w:iCs/>
          <w:sz w:val="44"/>
          <w:szCs w:val="44"/>
          <w:rtl/>
          <w:lang w:bidi="ar-DZ"/>
        </w:rPr>
      </w:pPr>
      <w:bookmarkStart w:id="0" w:name="_GoBack"/>
      <w:bookmarkEnd w:id="0"/>
      <w:r w:rsidRPr="008F28FA">
        <w:rPr>
          <w:rFonts w:hint="cs"/>
          <w:b/>
          <w:bCs/>
          <w:i/>
          <w:iCs/>
          <w:noProof/>
          <w:sz w:val="44"/>
          <w:szCs w:val="44"/>
          <w:rtl/>
          <w:lang w:eastAsia="fr-FR"/>
        </w:rPr>
        <w:drawing>
          <wp:anchor distT="0" distB="0" distL="114300" distR="114300" simplePos="0" relativeHeight="251658240" behindDoc="0" locked="0" layoutInCell="1" allowOverlap="1">
            <wp:simplePos x="0" y="0"/>
            <wp:positionH relativeFrom="margin">
              <wp:posOffset>5613400</wp:posOffset>
            </wp:positionH>
            <wp:positionV relativeFrom="margin">
              <wp:posOffset>-864870</wp:posOffset>
            </wp:positionV>
            <wp:extent cx="1026160" cy="1905635"/>
            <wp:effectExtent l="0" t="0" r="254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6">
                      <a:extLst>
                        <a:ext uri="{BEBA8EAE-BF5A-486C-A8C5-ECC9F3942E4B}">
                          <a14:imgProps xmlns:a14="http://schemas.microsoft.com/office/drawing/2010/main">
                            <a14:imgLayer r:embed="rId7">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1026160" cy="1905635"/>
                    </a:xfrm>
                    <a:prstGeom prst="rect">
                      <a:avLst/>
                    </a:prstGeom>
                  </pic:spPr>
                </pic:pic>
              </a:graphicData>
            </a:graphic>
            <wp14:sizeRelH relativeFrom="margin">
              <wp14:pctWidth>0</wp14:pctWidth>
            </wp14:sizeRelH>
            <wp14:sizeRelV relativeFrom="margin">
              <wp14:pctHeight>0</wp14:pctHeight>
            </wp14:sizeRelV>
          </wp:anchor>
        </w:drawing>
      </w:r>
      <w:r w:rsidRPr="008F28FA">
        <w:rPr>
          <w:rFonts w:hint="cs"/>
          <w:b/>
          <w:bCs/>
          <w:i/>
          <w:iCs/>
          <w:noProof/>
          <w:sz w:val="44"/>
          <w:szCs w:val="44"/>
          <w:rtl/>
          <w:lang w:eastAsia="fr-FR"/>
        </w:rPr>
        <w:drawing>
          <wp:anchor distT="0" distB="0" distL="114300" distR="114300" simplePos="0" relativeHeight="251659264" behindDoc="0" locked="0" layoutInCell="1" allowOverlap="1">
            <wp:simplePos x="0" y="0"/>
            <wp:positionH relativeFrom="margin">
              <wp:posOffset>-871855</wp:posOffset>
            </wp:positionH>
            <wp:positionV relativeFrom="margin">
              <wp:posOffset>-864870</wp:posOffset>
            </wp:positionV>
            <wp:extent cx="878840" cy="190563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6">
                      <a:extLst>
                        <a:ext uri="{BEBA8EAE-BF5A-486C-A8C5-ECC9F3942E4B}">
                          <a14:imgProps xmlns:a14="http://schemas.microsoft.com/office/drawing/2010/main">
                            <a14:imgLayer r:embed="rId7">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878840" cy="1905635"/>
                    </a:xfrm>
                    <a:prstGeom prst="rect">
                      <a:avLst/>
                    </a:prstGeom>
                  </pic:spPr>
                </pic:pic>
              </a:graphicData>
            </a:graphic>
            <wp14:sizeRelH relativeFrom="margin">
              <wp14:pctWidth>0</wp14:pctWidth>
            </wp14:sizeRelH>
            <wp14:sizeRelV relativeFrom="margin">
              <wp14:pctHeight>0</wp14:pctHeight>
            </wp14:sizeRelV>
          </wp:anchor>
        </w:drawing>
      </w:r>
      <w:r w:rsidRPr="008F28FA">
        <w:rPr>
          <w:rFonts w:hint="cs"/>
          <w:b/>
          <w:bCs/>
          <w:i/>
          <w:iCs/>
          <w:sz w:val="44"/>
          <w:szCs w:val="44"/>
          <w:rtl/>
          <w:lang w:bidi="ar-DZ"/>
        </w:rPr>
        <w:t>جامعة أبو بكر بالقايد تلمسان</w:t>
      </w:r>
    </w:p>
    <w:p w:rsidR="003758F7" w:rsidRPr="008F28FA" w:rsidRDefault="003758F7" w:rsidP="003758F7">
      <w:pPr>
        <w:bidi/>
        <w:jc w:val="center"/>
        <w:rPr>
          <w:b/>
          <w:bCs/>
          <w:i/>
          <w:iCs/>
          <w:sz w:val="44"/>
          <w:szCs w:val="44"/>
          <w:rtl/>
          <w:lang w:bidi="ar-DZ"/>
        </w:rPr>
      </w:pPr>
      <w:r w:rsidRPr="008F28FA">
        <w:rPr>
          <w:rFonts w:hint="cs"/>
          <w:b/>
          <w:bCs/>
          <w:i/>
          <w:iCs/>
          <w:sz w:val="44"/>
          <w:szCs w:val="44"/>
          <w:rtl/>
          <w:lang w:bidi="ar-DZ"/>
        </w:rPr>
        <w:t xml:space="preserve">كلية الآداب </w:t>
      </w:r>
      <w:r w:rsidR="005C2253" w:rsidRPr="008F28FA">
        <w:rPr>
          <w:rFonts w:hint="cs"/>
          <w:b/>
          <w:bCs/>
          <w:i/>
          <w:iCs/>
          <w:sz w:val="44"/>
          <w:szCs w:val="44"/>
          <w:rtl/>
          <w:lang w:bidi="ar-DZ"/>
        </w:rPr>
        <w:t>واللغات</w:t>
      </w:r>
    </w:p>
    <w:p w:rsidR="003758F7" w:rsidRDefault="003758F7" w:rsidP="003758F7">
      <w:pPr>
        <w:bidi/>
        <w:jc w:val="center"/>
        <w:rPr>
          <w:b/>
          <w:bCs/>
          <w:i/>
          <w:iCs/>
          <w:sz w:val="44"/>
          <w:szCs w:val="44"/>
          <w:rtl/>
          <w:lang w:bidi="ar-DZ"/>
        </w:rPr>
      </w:pPr>
      <w:r w:rsidRPr="008F28FA">
        <w:rPr>
          <w:rFonts w:hint="cs"/>
          <w:b/>
          <w:bCs/>
          <w:i/>
          <w:iCs/>
          <w:sz w:val="44"/>
          <w:szCs w:val="44"/>
          <w:rtl/>
          <w:lang w:bidi="ar-DZ"/>
        </w:rPr>
        <w:t xml:space="preserve">قسم اللغة </w:t>
      </w:r>
      <w:r w:rsidR="005C2253" w:rsidRPr="008F28FA">
        <w:rPr>
          <w:rFonts w:hint="cs"/>
          <w:b/>
          <w:bCs/>
          <w:i/>
          <w:iCs/>
          <w:sz w:val="44"/>
          <w:szCs w:val="44"/>
          <w:rtl/>
          <w:lang w:bidi="ar-DZ"/>
        </w:rPr>
        <w:t>والأدب لعربي</w:t>
      </w:r>
    </w:p>
    <w:p w:rsidR="008F28FA" w:rsidRDefault="008F28FA" w:rsidP="008F28FA">
      <w:pPr>
        <w:bidi/>
        <w:rPr>
          <w:b/>
          <w:bCs/>
          <w:i/>
          <w:iCs/>
          <w:sz w:val="44"/>
          <w:szCs w:val="44"/>
          <w:rtl/>
          <w:lang w:bidi="ar-DZ"/>
        </w:rPr>
      </w:pPr>
    </w:p>
    <w:p w:rsidR="008F28FA" w:rsidRDefault="008F28FA" w:rsidP="008F28FA">
      <w:pPr>
        <w:bidi/>
        <w:jc w:val="center"/>
        <w:rPr>
          <w:b/>
          <w:bCs/>
          <w:i/>
          <w:iCs/>
          <w:sz w:val="40"/>
          <w:szCs w:val="40"/>
          <w:rtl/>
          <w:lang w:bidi="ar-DZ"/>
        </w:rPr>
      </w:pPr>
      <w:r w:rsidRPr="008F28FA">
        <w:rPr>
          <w:rFonts w:hint="cs"/>
          <w:b/>
          <w:bCs/>
          <w:i/>
          <w:iCs/>
          <w:sz w:val="40"/>
          <w:szCs w:val="40"/>
          <w:rtl/>
          <w:lang w:bidi="ar-DZ"/>
        </w:rPr>
        <w:t>ملخص البحث المعنون ب</w:t>
      </w:r>
      <w:r>
        <w:rPr>
          <w:rFonts w:hint="cs"/>
          <w:b/>
          <w:bCs/>
          <w:i/>
          <w:iCs/>
          <w:sz w:val="40"/>
          <w:szCs w:val="40"/>
          <w:rtl/>
          <w:lang w:bidi="ar-DZ"/>
        </w:rPr>
        <w:t xml:space="preserve"> </w:t>
      </w:r>
      <w:r w:rsidRPr="008F28FA">
        <w:rPr>
          <w:rFonts w:hint="cs"/>
          <w:b/>
          <w:bCs/>
          <w:i/>
          <w:iCs/>
          <w:sz w:val="40"/>
          <w:szCs w:val="40"/>
          <w:rtl/>
          <w:lang w:bidi="ar-DZ"/>
        </w:rPr>
        <w:t xml:space="preserve">"العلوم العقلية </w:t>
      </w:r>
      <w:r w:rsidR="005C2253" w:rsidRPr="008F28FA">
        <w:rPr>
          <w:rFonts w:hint="cs"/>
          <w:b/>
          <w:bCs/>
          <w:i/>
          <w:iCs/>
          <w:sz w:val="40"/>
          <w:szCs w:val="40"/>
          <w:rtl/>
          <w:lang w:bidi="ar-DZ"/>
        </w:rPr>
        <w:t>والعلوم النقلة</w:t>
      </w:r>
      <w:r w:rsidRPr="008F28FA">
        <w:rPr>
          <w:rFonts w:hint="cs"/>
          <w:b/>
          <w:bCs/>
          <w:i/>
          <w:iCs/>
          <w:sz w:val="40"/>
          <w:szCs w:val="40"/>
          <w:rtl/>
          <w:lang w:bidi="ar-DZ"/>
        </w:rPr>
        <w:t>"</w:t>
      </w:r>
    </w:p>
    <w:p w:rsidR="008F28FA" w:rsidRDefault="008F28FA" w:rsidP="008F28FA">
      <w:pPr>
        <w:bidi/>
        <w:rPr>
          <w:sz w:val="32"/>
          <w:szCs w:val="32"/>
          <w:rtl/>
          <w:lang w:bidi="ar-DZ"/>
        </w:rPr>
      </w:pPr>
      <w:r w:rsidRPr="008F28FA">
        <w:rPr>
          <w:rFonts w:hint="cs"/>
          <w:sz w:val="32"/>
          <w:szCs w:val="32"/>
          <w:rtl/>
          <w:lang w:bidi="ar-DZ"/>
        </w:rPr>
        <w:t>من إعداد الطلبة:</w:t>
      </w:r>
      <w:r>
        <w:rPr>
          <w:sz w:val="32"/>
          <w:szCs w:val="32"/>
          <w:rtl/>
          <w:lang w:bidi="ar-DZ"/>
        </w:rPr>
        <w:tab/>
      </w:r>
      <w:r>
        <w:rPr>
          <w:sz w:val="32"/>
          <w:szCs w:val="32"/>
          <w:rtl/>
          <w:lang w:bidi="ar-DZ"/>
        </w:rPr>
        <w:tab/>
      </w:r>
      <w:r>
        <w:rPr>
          <w:sz w:val="32"/>
          <w:szCs w:val="32"/>
          <w:rtl/>
          <w:lang w:bidi="ar-DZ"/>
        </w:rPr>
        <w:tab/>
      </w:r>
      <w:r>
        <w:rPr>
          <w:sz w:val="32"/>
          <w:szCs w:val="32"/>
          <w:rtl/>
          <w:lang w:bidi="ar-DZ"/>
        </w:rPr>
        <w:tab/>
      </w:r>
      <w:r>
        <w:rPr>
          <w:sz w:val="32"/>
          <w:szCs w:val="32"/>
          <w:rtl/>
          <w:lang w:bidi="ar-DZ"/>
        </w:rPr>
        <w:tab/>
      </w:r>
      <w:r>
        <w:rPr>
          <w:sz w:val="32"/>
          <w:szCs w:val="32"/>
          <w:rtl/>
          <w:lang w:bidi="ar-DZ"/>
        </w:rPr>
        <w:tab/>
      </w:r>
      <w:r>
        <w:rPr>
          <w:rFonts w:hint="cs"/>
          <w:sz w:val="32"/>
          <w:szCs w:val="32"/>
          <w:rtl/>
          <w:lang w:bidi="ar-DZ"/>
        </w:rPr>
        <w:t xml:space="preserve">تحت إشراف: </w:t>
      </w:r>
      <w:r w:rsidR="005C2253">
        <w:rPr>
          <w:rFonts w:hint="cs"/>
          <w:sz w:val="32"/>
          <w:szCs w:val="32"/>
          <w:rtl/>
          <w:lang w:bidi="ar-DZ"/>
        </w:rPr>
        <w:t>د. فاطم</w:t>
      </w:r>
      <w:r w:rsidR="005C2253">
        <w:rPr>
          <w:rFonts w:hint="eastAsia"/>
          <w:sz w:val="32"/>
          <w:szCs w:val="32"/>
          <w:rtl/>
          <w:lang w:bidi="ar-DZ"/>
        </w:rPr>
        <w:t>ة</w:t>
      </w:r>
      <w:r>
        <w:rPr>
          <w:rFonts w:hint="cs"/>
          <w:sz w:val="32"/>
          <w:szCs w:val="32"/>
          <w:rtl/>
          <w:lang w:bidi="ar-DZ"/>
        </w:rPr>
        <w:t xml:space="preserve"> بور.</w:t>
      </w:r>
    </w:p>
    <w:p w:rsidR="008F28FA" w:rsidRDefault="008F28FA" w:rsidP="008F28FA">
      <w:pPr>
        <w:bidi/>
        <w:rPr>
          <w:sz w:val="32"/>
          <w:szCs w:val="32"/>
          <w:rtl/>
          <w:lang w:bidi="ar-DZ"/>
        </w:rPr>
      </w:pPr>
      <w:r>
        <w:rPr>
          <w:rFonts w:hint="cs"/>
          <w:sz w:val="32"/>
          <w:szCs w:val="32"/>
          <w:rtl/>
          <w:lang w:bidi="ar-DZ"/>
        </w:rPr>
        <w:t xml:space="preserve">خديجة </w:t>
      </w:r>
      <w:r w:rsidR="005C2253">
        <w:rPr>
          <w:rFonts w:hint="cs"/>
          <w:sz w:val="32"/>
          <w:szCs w:val="32"/>
          <w:rtl/>
          <w:lang w:bidi="ar-DZ"/>
        </w:rPr>
        <w:t>خولة حوالف</w:t>
      </w:r>
      <w:r>
        <w:rPr>
          <w:rFonts w:hint="cs"/>
          <w:sz w:val="32"/>
          <w:szCs w:val="32"/>
          <w:rtl/>
          <w:lang w:bidi="ar-DZ"/>
        </w:rPr>
        <w:t xml:space="preserve"> </w:t>
      </w:r>
    </w:p>
    <w:p w:rsidR="008F28FA" w:rsidRDefault="008F28FA" w:rsidP="008F28FA">
      <w:pPr>
        <w:bidi/>
        <w:rPr>
          <w:sz w:val="32"/>
          <w:szCs w:val="32"/>
          <w:rtl/>
          <w:lang w:bidi="ar-DZ"/>
        </w:rPr>
      </w:pPr>
      <w:r>
        <w:rPr>
          <w:rFonts w:hint="cs"/>
          <w:sz w:val="32"/>
          <w:szCs w:val="32"/>
          <w:rtl/>
          <w:lang w:bidi="ar-DZ"/>
        </w:rPr>
        <w:t xml:space="preserve">رانيا </w:t>
      </w:r>
      <w:r w:rsidR="005C2253">
        <w:rPr>
          <w:rFonts w:hint="cs"/>
          <w:sz w:val="32"/>
          <w:szCs w:val="32"/>
          <w:rtl/>
          <w:lang w:bidi="ar-DZ"/>
        </w:rPr>
        <w:t>حمراس</w:t>
      </w:r>
    </w:p>
    <w:p w:rsidR="008F28FA" w:rsidRDefault="008F28FA" w:rsidP="008F28FA">
      <w:pPr>
        <w:bidi/>
        <w:rPr>
          <w:sz w:val="32"/>
          <w:szCs w:val="32"/>
          <w:rtl/>
          <w:lang w:bidi="ar-DZ"/>
        </w:rPr>
      </w:pPr>
      <w:r>
        <w:rPr>
          <w:rFonts w:hint="cs"/>
          <w:sz w:val="32"/>
          <w:szCs w:val="32"/>
          <w:rtl/>
          <w:lang w:bidi="ar-DZ"/>
        </w:rPr>
        <w:t xml:space="preserve">عزاز هاجر </w:t>
      </w:r>
    </w:p>
    <w:p w:rsidR="008F28FA" w:rsidRDefault="005C2253" w:rsidP="008F28FA">
      <w:pPr>
        <w:bidi/>
        <w:rPr>
          <w:sz w:val="32"/>
          <w:szCs w:val="32"/>
          <w:rtl/>
          <w:lang w:bidi="ar-DZ"/>
        </w:rPr>
      </w:pPr>
      <w:r>
        <w:rPr>
          <w:rFonts w:hint="cs"/>
          <w:sz w:val="32"/>
          <w:szCs w:val="32"/>
          <w:rtl/>
          <w:lang w:bidi="ar-DZ"/>
        </w:rPr>
        <w:t>بلخير مروة</w:t>
      </w:r>
    </w:p>
    <w:p w:rsidR="008F28FA" w:rsidRDefault="008F28FA" w:rsidP="008F28FA">
      <w:pPr>
        <w:bidi/>
        <w:rPr>
          <w:sz w:val="32"/>
          <w:szCs w:val="32"/>
          <w:rtl/>
          <w:lang w:bidi="ar-DZ"/>
        </w:rPr>
      </w:pPr>
      <w:r>
        <w:rPr>
          <w:rFonts w:hint="cs"/>
          <w:sz w:val="32"/>
          <w:szCs w:val="32"/>
          <w:rtl/>
          <w:lang w:bidi="ar-DZ"/>
        </w:rPr>
        <w:t>ملاك بوخاري</w:t>
      </w:r>
    </w:p>
    <w:p w:rsidR="008F28FA" w:rsidRDefault="008F28FA" w:rsidP="008F28FA">
      <w:pPr>
        <w:bidi/>
        <w:jc w:val="center"/>
        <w:rPr>
          <w:sz w:val="32"/>
          <w:szCs w:val="32"/>
          <w:rtl/>
          <w:lang w:bidi="ar-DZ"/>
        </w:rPr>
      </w:pPr>
      <w:r>
        <w:rPr>
          <w:rFonts w:hint="cs"/>
          <w:sz w:val="32"/>
          <w:szCs w:val="32"/>
          <w:rtl/>
          <w:lang w:bidi="ar-DZ"/>
        </w:rPr>
        <w:t>الملخص:</w:t>
      </w:r>
    </w:p>
    <w:p w:rsidR="005C2253" w:rsidRDefault="005C2253" w:rsidP="005C2253">
      <w:pPr>
        <w:spacing w:line="240" w:lineRule="auto"/>
        <w:jc w:val="right"/>
        <w:rPr>
          <w:sz w:val="32"/>
          <w:szCs w:val="32"/>
          <w:rtl/>
          <w:lang w:bidi="ar-DZ"/>
        </w:rPr>
      </w:pPr>
      <w:r w:rsidRPr="005C2253">
        <w:rPr>
          <w:rFonts w:cs="Arial"/>
          <w:sz w:val="32"/>
          <w:szCs w:val="32"/>
          <w:rtl/>
          <w:lang w:bidi="ar-DZ"/>
        </w:rPr>
        <w:t>تناول هذا البحث موضوع علوم العقل وعلوم النقل، حيث تُعدّ علوم العقل تلك العلوم التي تعتمد على التفكير والتحليل والاستدلال، وتقوم على البرهان والاستقراء في تفسير الظواهر. أمّا علوم النقل فهي العلوم المستمدة من الوحي، أي القرآن الكريم والسنة النبوية، وتقوم على الإسناد والتلقي</w:t>
      </w:r>
      <w:r>
        <w:rPr>
          <w:rFonts w:hint="cs"/>
          <w:sz w:val="32"/>
          <w:szCs w:val="32"/>
          <w:rtl/>
          <w:lang w:bidi="ar-DZ"/>
        </w:rPr>
        <w:t>.</w:t>
      </w:r>
    </w:p>
    <w:p w:rsidR="005C2253" w:rsidRPr="005C2253" w:rsidRDefault="005C2253" w:rsidP="005C2253">
      <w:pPr>
        <w:spacing w:line="240" w:lineRule="auto"/>
        <w:jc w:val="right"/>
        <w:rPr>
          <w:sz w:val="32"/>
          <w:szCs w:val="32"/>
          <w:rtl/>
          <w:lang w:bidi="ar-DZ"/>
        </w:rPr>
      </w:pPr>
      <w:r>
        <w:rPr>
          <w:rFonts w:cs="Arial"/>
          <w:sz w:val="32"/>
          <w:szCs w:val="32"/>
          <w:rtl/>
          <w:lang w:bidi="ar-DZ"/>
        </w:rPr>
        <w:t>أمثلة علوم العق</w:t>
      </w:r>
      <w:r>
        <w:rPr>
          <w:rFonts w:cs="Arial" w:hint="cs"/>
          <w:sz w:val="32"/>
          <w:szCs w:val="32"/>
          <w:rtl/>
          <w:lang w:bidi="ar-DZ"/>
        </w:rPr>
        <w:t>ل:</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المنطق عند اليونان</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الفلسفة</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الرياضيات (مثل الجبر والمقابلة)</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الطب عند ابن سينا</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أمثلة علوم النقل</w:t>
      </w:r>
      <w:r>
        <w:rPr>
          <w:rFonts w:cs="Arial" w:hint="cs"/>
          <w:sz w:val="32"/>
          <w:szCs w:val="32"/>
          <w:rtl/>
          <w:lang w:bidi="ar-DZ"/>
        </w:rPr>
        <w:t>:</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علم التفسير</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علم الحديث</w:t>
      </w:r>
    </w:p>
    <w:p w:rsidR="005C2253" w:rsidRPr="005C2253" w:rsidRDefault="005C2253" w:rsidP="005C2253">
      <w:pPr>
        <w:spacing w:line="240" w:lineRule="auto"/>
        <w:jc w:val="right"/>
        <w:rPr>
          <w:rFonts w:cs="Arial"/>
          <w:sz w:val="32"/>
          <w:szCs w:val="32"/>
          <w:rtl/>
          <w:lang w:bidi="ar-DZ"/>
        </w:rPr>
      </w:pPr>
      <w:r w:rsidRPr="005C2253">
        <w:rPr>
          <w:rFonts w:cs="Arial"/>
          <w:sz w:val="32"/>
          <w:szCs w:val="32"/>
          <w:rtl/>
          <w:lang w:bidi="ar-DZ"/>
        </w:rPr>
        <w:t>منهج البخاري في توثيق الروايات</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lastRenderedPageBreak/>
        <w:t>الفقه</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كتاب "الرسالة" للإمام الشافعي</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وتتميز علوم النقل بعدة خصائص، من أهمها اعتمادها على الإسناد لتمييز الصحيح من السقيم، وكون مصدرها الأساسي الوحي، إضافة إلى طابعها التراكمي الذي ينتقل عبر الأجيال، مع ثبات في الأصول ومرونة في الفروع. في المقابل، تتميز علوم العقل بكونها علومًا برهانية تعتمد على القياس والاستقراء، وتتسم بوحدة موضوعها، كما عُرفت بنزعتها النقدية</w:t>
      </w:r>
      <w:r>
        <w:rPr>
          <w:rFonts w:cs="Arial" w:hint="cs"/>
          <w:sz w:val="32"/>
          <w:szCs w:val="32"/>
          <w:rtl/>
          <w:lang w:bidi="ar-DZ"/>
        </w:rPr>
        <w:t>.</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 xml:space="preserve">كما تناول البحث العلاقة بين علوم العقل وعلوم النقل، حيث تتجلى في </w:t>
      </w:r>
      <w:r w:rsidRPr="005C2253">
        <w:rPr>
          <w:rFonts w:cs="Arial" w:hint="cs"/>
          <w:sz w:val="32"/>
          <w:szCs w:val="32"/>
          <w:rtl/>
          <w:lang w:bidi="ar-DZ"/>
        </w:rPr>
        <w:t>ثلاثة اتجاها</w:t>
      </w:r>
      <w:r w:rsidRPr="005C2253">
        <w:rPr>
          <w:rFonts w:cs="Arial" w:hint="eastAsia"/>
          <w:sz w:val="32"/>
          <w:szCs w:val="32"/>
          <w:rtl/>
          <w:lang w:bidi="ar-DZ"/>
        </w:rPr>
        <w:t>ت</w:t>
      </w:r>
      <w:r w:rsidRPr="005C2253">
        <w:rPr>
          <w:rFonts w:cs="Arial"/>
          <w:sz w:val="32"/>
          <w:szCs w:val="32"/>
          <w:rtl/>
          <w:lang w:bidi="ar-DZ"/>
        </w:rPr>
        <w:t xml:space="preserve"> رئيسية: التكامل، والتقديم للنقل، والتوفيق بينهما. وقد برز عدد من العلماء الذين جمعوا بينهما، مثل الغزالي، وابن رشد، وابن تيمية، والفارابي، وابن سينا</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وتكمن أهمية الجمع بين هذين النوعين من العلوم في تحقيق التوازن الفكري، إذ يسهم العقل في الفهم والتحليل، بينما يوجّه النقل نحو القيم والحقائق، مما يؤدي إلى بناء رؤية متكاملة تدعم نهضة علمية قائمة على الأصالة والتجديد</w:t>
      </w:r>
      <w:r>
        <w:rPr>
          <w:rFonts w:cs="Arial" w:hint="cs"/>
          <w:sz w:val="32"/>
          <w:szCs w:val="32"/>
          <w:rtl/>
          <w:lang w:bidi="ar-DZ"/>
        </w:rPr>
        <w:t>.</w:t>
      </w:r>
    </w:p>
    <w:p w:rsidR="005C2253" w:rsidRPr="005C2253" w:rsidRDefault="005C2253" w:rsidP="005C2253">
      <w:pPr>
        <w:spacing w:line="240" w:lineRule="auto"/>
        <w:jc w:val="right"/>
        <w:rPr>
          <w:sz w:val="32"/>
          <w:szCs w:val="32"/>
          <w:rtl/>
          <w:lang w:bidi="ar-DZ"/>
        </w:rPr>
      </w:pPr>
      <w:r w:rsidRPr="005C2253">
        <w:rPr>
          <w:rFonts w:cs="Arial"/>
          <w:sz w:val="32"/>
          <w:szCs w:val="32"/>
          <w:rtl/>
          <w:lang w:bidi="ar-DZ"/>
        </w:rPr>
        <w:t>وفي الختام، يتضح أن العلاقة بين علوم العقل وعلوم النقل هي علاقة تكامل لا تعارض، فكلّ منهما يؤدي دورًا أساسيًا في بناء الفكر السليم، وباجتماعهما يتحقق التوازن وتُصان العقول من الجمود والتطرف</w:t>
      </w:r>
      <w:r>
        <w:rPr>
          <w:rFonts w:cs="Arial" w:hint="cs"/>
          <w:sz w:val="32"/>
          <w:szCs w:val="32"/>
          <w:rtl/>
          <w:lang w:bidi="ar-DZ"/>
        </w:rPr>
        <w:t>.</w:t>
      </w:r>
    </w:p>
    <w:p w:rsidR="008F28FA" w:rsidRPr="008F28FA" w:rsidRDefault="008F28FA" w:rsidP="008F28FA">
      <w:pPr>
        <w:bidi/>
        <w:rPr>
          <w:sz w:val="32"/>
          <w:szCs w:val="32"/>
          <w:rtl/>
          <w:lang w:bidi="ar-DZ"/>
        </w:rPr>
      </w:pPr>
    </w:p>
    <w:sectPr w:rsidR="008F28FA" w:rsidRPr="008F28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253" w:rsidRDefault="005C2253" w:rsidP="005C2253">
      <w:pPr>
        <w:spacing w:after="0" w:line="240" w:lineRule="auto"/>
      </w:pPr>
      <w:r>
        <w:separator/>
      </w:r>
    </w:p>
  </w:endnote>
  <w:endnote w:type="continuationSeparator" w:id="0">
    <w:p w:rsidR="005C2253" w:rsidRDefault="005C2253" w:rsidP="005C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253" w:rsidRDefault="005C2253" w:rsidP="005C2253">
      <w:pPr>
        <w:spacing w:after="0" w:line="240" w:lineRule="auto"/>
      </w:pPr>
      <w:r>
        <w:separator/>
      </w:r>
    </w:p>
  </w:footnote>
  <w:footnote w:type="continuationSeparator" w:id="0">
    <w:p w:rsidR="005C2253" w:rsidRDefault="005C2253" w:rsidP="005C22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1C"/>
    <w:rsid w:val="003758F7"/>
    <w:rsid w:val="005C2253"/>
    <w:rsid w:val="008F28FA"/>
    <w:rsid w:val="00A27351"/>
    <w:rsid w:val="00D04AB9"/>
    <w:rsid w:val="00E112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2C83E-3835-496F-A482-98A87A1C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2253"/>
    <w:pPr>
      <w:tabs>
        <w:tab w:val="center" w:pos="4536"/>
        <w:tab w:val="right" w:pos="9072"/>
      </w:tabs>
      <w:spacing w:after="0" w:line="240" w:lineRule="auto"/>
    </w:pPr>
  </w:style>
  <w:style w:type="character" w:customStyle="1" w:styleId="En-tteCar">
    <w:name w:val="En-tête Car"/>
    <w:basedOn w:val="Policepardfaut"/>
    <w:link w:val="En-tte"/>
    <w:uiPriority w:val="99"/>
    <w:rsid w:val="005C2253"/>
  </w:style>
  <w:style w:type="paragraph" w:styleId="Pieddepage">
    <w:name w:val="footer"/>
    <w:basedOn w:val="Normal"/>
    <w:link w:val="PieddepageCar"/>
    <w:uiPriority w:val="99"/>
    <w:unhideWhenUsed/>
    <w:rsid w:val="005C22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1428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Hp Computer</cp:lastModifiedBy>
  <cp:revision>2</cp:revision>
  <dcterms:created xsi:type="dcterms:W3CDTF">2026-04-19T20:36:00Z</dcterms:created>
  <dcterms:modified xsi:type="dcterms:W3CDTF">2026-04-19T20:36:00Z</dcterms:modified>
</cp:coreProperties>
</file>