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E1" w:rsidRPr="00C7347D" w:rsidRDefault="000660E1" w:rsidP="000660E1">
      <w:pPr>
        <w:tabs>
          <w:tab w:val="left" w:pos="567"/>
        </w:tabs>
        <w:spacing w:after="0"/>
        <w:jc w:val="both"/>
        <w:rPr>
          <w:rFonts w:asciiTheme="majorBidi" w:hAnsiTheme="majorBidi" w:cstheme="majorBidi"/>
          <w:b/>
          <w:bCs/>
          <w:sz w:val="24"/>
          <w:szCs w:val="24"/>
        </w:rPr>
      </w:pPr>
      <w:r>
        <w:rPr>
          <w:rFonts w:asciiTheme="majorBidi" w:hAnsiTheme="majorBidi" w:cstheme="majorBidi"/>
          <w:b/>
          <w:bCs/>
          <w:sz w:val="24"/>
          <w:szCs w:val="24"/>
        </w:rPr>
        <w:t>Chapitre</w:t>
      </w:r>
      <w:r w:rsidRPr="00C7347D">
        <w:rPr>
          <w:rFonts w:asciiTheme="majorBidi" w:hAnsiTheme="majorBidi" w:cstheme="majorBidi"/>
          <w:b/>
          <w:bCs/>
          <w:sz w:val="24"/>
          <w:szCs w:val="24"/>
        </w:rPr>
        <w:t xml:space="preserve"> II- FACTEURS FAVORISANTS LES INCENDIES</w:t>
      </w:r>
    </w:p>
    <w:p w:rsidR="000660E1" w:rsidRPr="00C7347D" w:rsidRDefault="000660E1" w:rsidP="000660E1">
      <w:pPr>
        <w:pStyle w:val="Titre4"/>
        <w:shd w:val="clear" w:color="auto" w:fill="FFFFFF"/>
        <w:tabs>
          <w:tab w:val="left" w:pos="567"/>
        </w:tabs>
        <w:jc w:val="both"/>
        <w:rPr>
          <w:rFonts w:asciiTheme="majorBidi" w:hAnsiTheme="majorBidi"/>
          <w:i w:val="0"/>
          <w:iCs w:val="0"/>
          <w:color w:val="auto"/>
          <w:sz w:val="24"/>
          <w:szCs w:val="24"/>
        </w:rPr>
      </w:pPr>
      <w:r w:rsidRPr="00C7347D">
        <w:rPr>
          <w:rFonts w:asciiTheme="majorBidi" w:hAnsiTheme="majorBidi"/>
          <w:i w:val="0"/>
          <w:iCs w:val="0"/>
          <w:color w:val="auto"/>
          <w:sz w:val="24"/>
          <w:szCs w:val="24"/>
        </w:rPr>
        <w:t>1-  les facteurs d'états</w:t>
      </w:r>
    </w:p>
    <w:p w:rsidR="000660E1" w:rsidRPr="00C7347D" w:rsidRDefault="000660E1" w:rsidP="000660E1">
      <w:pPr>
        <w:pStyle w:val="Titre4"/>
        <w:shd w:val="clear" w:color="auto" w:fill="FFFFFF"/>
        <w:tabs>
          <w:tab w:val="left" w:pos="567"/>
        </w:tabs>
        <w:ind w:left="142" w:firstLine="578"/>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Les facteurs déterminants sont liés au sol et à la végétation</w:t>
      </w:r>
    </w:p>
    <w:p w:rsidR="000660E1" w:rsidRPr="00C7347D" w:rsidRDefault="000660E1" w:rsidP="000660E1">
      <w:pPr>
        <w:pStyle w:val="Titre4"/>
        <w:shd w:val="clear" w:color="auto" w:fill="FFFFFF"/>
        <w:tabs>
          <w:tab w:val="left" w:pos="567"/>
        </w:tabs>
        <w:jc w:val="both"/>
        <w:rPr>
          <w:rFonts w:asciiTheme="majorBidi" w:hAnsiTheme="majorBidi"/>
          <w:b w:val="0"/>
          <w:bCs w:val="0"/>
          <w:i w:val="0"/>
          <w:iCs w:val="0"/>
          <w:color w:val="auto"/>
          <w:sz w:val="24"/>
          <w:szCs w:val="24"/>
        </w:rPr>
      </w:pPr>
      <w:r w:rsidRPr="00C7347D">
        <w:rPr>
          <w:rFonts w:asciiTheme="majorBidi" w:hAnsiTheme="majorBidi"/>
          <w:i w:val="0"/>
          <w:iCs w:val="0"/>
          <w:color w:val="auto"/>
          <w:sz w:val="24"/>
          <w:szCs w:val="24"/>
        </w:rPr>
        <w:t>1.1-  le combustible ou facteurs biologiques</w:t>
      </w:r>
    </w:p>
    <w:p w:rsidR="000660E1" w:rsidRPr="00C7347D" w:rsidRDefault="000660E1" w:rsidP="000660E1">
      <w:pPr>
        <w:pStyle w:val="Titre4"/>
        <w:shd w:val="clear" w:color="auto" w:fill="FFFFFF"/>
        <w:tabs>
          <w:tab w:val="left" w:pos="567"/>
        </w:tabs>
        <w:ind w:left="142" w:firstLine="578"/>
        <w:jc w:val="both"/>
        <w:rPr>
          <w:rFonts w:asciiTheme="majorBidi" w:hAnsiTheme="majorBidi"/>
          <w:i w:val="0"/>
          <w:iCs w:val="0"/>
          <w:color w:val="auto"/>
          <w:sz w:val="24"/>
          <w:szCs w:val="24"/>
        </w:rPr>
      </w:pPr>
      <w:r w:rsidRPr="00C7347D">
        <w:rPr>
          <w:rFonts w:asciiTheme="majorBidi" w:hAnsiTheme="majorBidi"/>
          <w:b w:val="0"/>
          <w:bCs w:val="0"/>
          <w:i w:val="0"/>
          <w:iCs w:val="0"/>
          <w:color w:val="auto"/>
          <w:sz w:val="24"/>
          <w:szCs w:val="24"/>
        </w:rPr>
        <w:t>La forêt, dans son intégralité, doit être considérée comme un combustible potentiel. Les flammes peuvent en effet parcourir indifféremment la végétation vivante (branches, feuilles) ou morte (aiguilles, arbres morts sur pied), on distingue:</w:t>
      </w:r>
    </w:p>
    <w:p w:rsidR="000660E1" w:rsidRPr="00C7347D" w:rsidRDefault="000660E1" w:rsidP="000660E1">
      <w:pPr>
        <w:pStyle w:val="NormalWeb"/>
        <w:tabs>
          <w:tab w:val="left" w:pos="567"/>
        </w:tabs>
        <w:spacing w:after="0" w:afterAutospacing="0" w:line="276" w:lineRule="auto"/>
        <w:jc w:val="both"/>
        <w:rPr>
          <w:rFonts w:asciiTheme="majorBidi" w:hAnsiTheme="majorBidi" w:cstheme="majorBidi"/>
        </w:rPr>
      </w:pPr>
      <w:r w:rsidRPr="00C7347D">
        <w:rPr>
          <w:rStyle w:val="Accentuation"/>
          <w:rFonts w:asciiTheme="majorBidi" w:hAnsiTheme="majorBidi" w:cstheme="majorBidi"/>
          <w:b/>
          <w:bCs/>
        </w:rPr>
        <w:tab/>
        <w:t>Combustibles forestiers :</w:t>
      </w:r>
      <w:r w:rsidRPr="00C7347D">
        <w:rPr>
          <w:rStyle w:val="apple-converted-space"/>
          <w:rFonts w:asciiTheme="majorBidi" w:hAnsiTheme="majorBidi" w:cstheme="majorBidi"/>
          <w:b/>
          <w:bCs/>
        </w:rPr>
        <w:t> </w:t>
      </w:r>
      <w:r w:rsidRPr="00C7347D">
        <w:rPr>
          <w:rFonts w:asciiTheme="majorBidi" w:hAnsiTheme="majorBidi" w:cstheme="majorBidi"/>
        </w:rPr>
        <w:t>Matières organiques qui brûlent au cours d’un incendie de forêt. Les combustibles sont classés en deux catégories, selon leurs dimensions et leur inflammabilité. On a prévu pour chaque catégorie un indice qui permet d’évaluer le risque d’incendie connexe.</w:t>
      </w:r>
    </w:p>
    <w:p w:rsidR="000660E1" w:rsidRPr="00C7347D" w:rsidRDefault="000660E1" w:rsidP="000660E1">
      <w:pPr>
        <w:pStyle w:val="NormalWeb"/>
        <w:tabs>
          <w:tab w:val="left" w:pos="567"/>
        </w:tabs>
        <w:spacing w:after="0" w:afterAutospacing="0" w:line="276" w:lineRule="auto"/>
        <w:jc w:val="both"/>
        <w:rPr>
          <w:rFonts w:asciiTheme="majorBidi" w:hAnsiTheme="majorBidi" w:cstheme="majorBidi"/>
        </w:rPr>
      </w:pPr>
      <w:r w:rsidRPr="00C7347D">
        <w:rPr>
          <w:rStyle w:val="Accentuation"/>
          <w:rFonts w:asciiTheme="majorBidi" w:hAnsiTheme="majorBidi" w:cstheme="majorBidi"/>
          <w:b/>
          <w:bCs/>
        </w:rPr>
        <w:tab/>
        <w:t>Combustibles légers :</w:t>
      </w:r>
      <w:r w:rsidRPr="00C7347D">
        <w:rPr>
          <w:rStyle w:val="apple-converted-space"/>
          <w:rFonts w:asciiTheme="majorBidi" w:hAnsiTheme="majorBidi" w:cstheme="majorBidi"/>
          <w:b/>
          <w:bCs/>
        </w:rPr>
        <w:t> </w:t>
      </w:r>
      <w:r w:rsidRPr="00C7347D">
        <w:rPr>
          <w:rFonts w:asciiTheme="majorBidi" w:hAnsiTheme="majorBidi" w:cstheme="majorBidi"/>
        </w:rPr>
        <w:t>Combustibles qui s’enflamment rapidement et qui accélèrent la propagation du feu (herbe sèche, brindilles, feuilles mortes et aiguilles).</w:t>
      </w:r>
    </w:p>
    <w:p w:rsidR="000660E1" w:rsidRPr="00C7347D" w:rsidRDefault="000660E1" w:rsidP="000660E1">
      <w:pPr>
        <w:pStyle w:val="NormalWeb"/>
        <w:tabs>
          <w:tab w:val="left" w:pos="567"/>
        </w:tabs>
        <w:spacing w:after="0" w:afterAutospacing="0" w:line="276" w:lineRule="auto"/>
        <w:jc w:val="both"/>
        <w:rPr>
          <w:rFonts w:asciiTheme="majorBidi" w:hAnsiTheme="majorBidi" w:cstheme="majorBidi"/>
        </w:rPr>
      </w:pPr>
      <w:r w:rsidRPr="00C7347D">
        <w:rPr>
          <w:rStyle w:val="Accentuation"/>
          <w:rFonts w:asciiTheme="majorBidi" w:hAnsiTheme="majorBidi" w:cstheme="majorBidi"/>
          <w:b/>
          <w:bCs/>
        </w:rPr>
        <w:tab/>
        <w:t>Combustibles lourds :</w:t>
      </w:r>
      <w:r w:rsidRPr="00C7347D">
        <w:rPr>
          <w:rStyle w:val="apple-converted-space"/>
          <w:rFonts w:asciiTheme="majorBidi" w:hAnsiTheme="majorBidi" w:cstheme="majorBidi"/>
          <w:b/>
          <w:bCs/>
        </w:rPr>
        <w:t> </w:t>
      </w:r>
      <w:r w:rsidRPr="00C7347D">
        <w:rPr>
          <w:rFonts w:asciiTheme="majorBidi" w:hAnsiTheme="majorBidi" w:cstheme="majorBidi"/>
        </w:rPr>
        <w:t>Combustibles qui s’enflamment difficilement, brûlent longtemps et freinent la propagation du feu (arbres de diamètre important, troncs en décomposition et souches)</w:t>
      </w:r>
    </w:p>
    <w:p w:rsidR="000660E1" w:rsidRPr="00C7347D" w:rsidRDefault="000660E1" w:rsidP="000660E1">
      <w:pPr>
        <w:pStyle w:val="NormalWeb"/>
        <w:tabs>
          <w:tab w:val="left" w:pos="567"/>
        </w:tabs>
        <w:spacing w:after="0" w:afterAutospacing="0" w:line="276" w:lineRule="auto"/>
        <w:jc w:val="both"/>
        <w:rPr>
          <w:rFonts w:asciiTheme="majorBidi" w:hAnsiTheme="majorBidi" w:cstheme="majorBidi"/>
        </w:rPr>
      </w:pPr>
      <w:r w:rsidRPr="00C7347D">
        <w:rPr>
          <w:rFonts w:asciiTheme="majorBidi" w:hAnsiTheme="majorBidi" w:cstheme="majorBidi"/>
        </w:rPr>
        <w:t>On peut classer le combustible en fonction de:</w:t>
      </w:r>
    </w:p>
    <w:p w:rsidR="000660E1" w:rsidRPr="00C7347D" w:rsidRDefault="000660E1" w:rsidP="000660E1">
      <w:pPr>
        <w:pStyle w:val="Titre4"/>
        <w:shd w:val="clear" w:color="auto" w:fill="FFFFFF"/>
        <w:tabs>
          <w:tab w:val="left" w:pos="567"/>
        </w:tabs>
        <w:ind w:left="142" w:firstLine="578"/>
        <w:jc w:val="both"/>
        <w:rPr>
          <w:rFonts w:asciiTheme="majorBidi" w:hAnsiTheme="majorBidi"/>
          <w:b w:val="0"/>
          <w:bCs w:val="0"/>
          <w:i w:val="0"/>
          <w:iCs w:val="0"/>
          <w:color w:val="auto"/>
          <w:sz w:val="24"/>
          <w:szCs w:val="24"/>
        </w:rPr>
      </w:pPr>
      <w:r w:rsidRPr="00C7347D">
        <w:rPr>
          <w:rFonts w:asciiTheme="majorBidi" w:hAnsiTheme="majorBidi"/>
          <w:i w:val="0"/>
          <w:iCs w:val="0"/>
          <w:color w:val="auto"/>
          <w:sz w:val="24"/>
          <w:szCs w:val="24"/>
        </w:rPr>
        <w:t>a- la stratification végétale</w:t>
      </w:r>
    </w:p>
    <w:p w:rsidR="000660E1" w:rsidRPr="00C7347D" w:rsidRDefault="000660E1" w:rsidP="000660E1">
      <w:pPr>
        <w:pStyle w:val="Titre4"/>
        <w:shd w:val="clear" w:color="auto" w:fill="FFFFFF"/>
        <w:tabs>
          <w:tab w:val="left" w:pos="567"/>
        </w:tabs>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Dans une forêt, il existe une hiérarchisation suivant leurs hauteurs (figure 5):</w:t>
      </w:r>
    </w:p>
    <w:p w:rsidR="000660E1" w:rsidRPr="00C7347D" w:rsidRDefault="000660E1" w:rsidP="000660E1">
      <w:pPr>
        <w:pStyle w:val="Titre4"/>
        <w:keepNext w:val="0"/>
        <w:keepLines w:val="0"/>
        <w:numPr>
          <w:ilvl w:val="0"/>
          <w:numId w:val="4"/>
        </w:numPr>
        <w:shd w:val="clear" w:color="auto" w:fill="FFFFFF"/>
        <w:tabs>
          <w:tab w:val="left" w:pos="567"/>
        </w:tabs>
        <w:spacing w:before="0"/>
        <w:ind w:left="993" w:hanging="28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Strate IV- la strate arborescente (8-10m de hauteur);</w:t>
      </w:r>
    </w:p>
    <w:p w:rsidR="000660E1" w:rsidRPr="00C7347D" w:rsidRDefault="000660E1" w:rsidP="000660E1">
      <w:pPr>
        <w:pStyle w:val="Titre4"/>
        <w:keepNext w:val="0"/>
        <w:keepLines w:val="0"/>
        <w:numPr>
          <w:ilvl w:val="0"/>
          <w:numId w:val="4"/>
        </w:numPr>
        <w:shd w:val="clear" w:color="auto" w:fill="FFFFFF"/>
        <w:tabs>
          <w:tab w:val="left" w:pos="567"/>
        </w:tabs>
        <w:spacing w:before="0"/>
        <w:ind w:left="993" w:hanging="28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Strate III- la strate arbustive (entre 1m et 7-8m), souvent découpée en strate arbustive supérieure (&gt; 5 m) et strate arbustive inferieure (&lt; 5 m); </w:t>
      </w:r>
    </w:p>
    <w:p w:rsidR="000660E1" w:rsidRPr="00C7347D" w:rsidRDefault="000660E1" w:rsidP="000660E1">
      <w:pPr>
        <w:pStyle w:val="Titre4"/>
        <w:keepNext w:val="0"/>
        <w:keepLines w:val="0"/>
        <w:numPr>
          <w:ilvl w:val="0"/>
          <w:numId w:val="5"/>
        </w:numPr>
        <w:shd w:val="clear" w:color="auto" w:fill="FFFFFF"/>
        <w:tabs>
          <w:tab w:val="left" w:pos="567"/>
        </w:tabs>
        <w:spacing w:before="0"/>
        <w:ind w:left="993" w:hanging="28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Strate II- la herbacée ou strate herbacée supérieure (30-40 cm à 1 m);</w:t>
      </w:r>
    </w:p>
    <w:p w:rsidR="000660E1" w:rsidRPr="00C7347D" w:rsidRDefault="000660E1" w:rsidP="000660E1">
      <w:pPr>
        <w:pStyle w:val="Titre4"/>
        <w:keepNext w:val="0"/>
        <w:keepLines w:val="0"/>
        <w:numPr>
          <w:ilvl w:val="0"/>
          <w:numId w:val="5"/>
        </w:numPr>
        <w:shd w:val="clear" w:color="auto" w:fill="FFFFFF"/>
        <w:tabs>
          <w:tab w:val="left" w:pos="567"/>
          <w:tab w:val="right" w:pos="9072"/>
        </w:tabs>
        <w:spacing w:before="0"/>
        <w:ind w:left="993" w:hanging="28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Strate I-  la strate herbacée inferieure = cryptogamique = muscinale et Lichénique (&lt; 3à cm).</w:t>
      </w:r>
      <w:r w:rsidRPr="00C7347D">
        <w:rPr>
          <w:rFonts w:asciiTheme="majorBidi" w:hAnsiTheme="majorBidi"/>
          <w:b w:val="0"/>
          <w:bCs w:val="0"/>
          <w:i w:val="0"/>
          <w:iCs w:val="0"/>
          <w:color w:val="auto"/>
          <w:sz w:val="24"/>
          <w:szCs w:val="24"/>
        </w:rPr>
        <w:tab/>
      </w:r>
    </w:p>
    <w:p w:rsidR="000660E1" w:rsidRPr="00C7347D" w:rsidRDefault="000660E1" w:rsidP="000660E1">
      <w:pPr>
        <w:pStyle w:val="Titre4"/>
        <w:shd w:val="clear" w:color="auto" w:fill="FFFFFF"/>
        <w:tabs>
          <w:tab w:val="left" w:pos="567"/>
        </w:tabs>
        <w:ind w:left="142" w:firstLine="851"/>
        <w:jc w:val="both"/>
        <w:rPr>
          <w:rFonts w:asciiTheme="majorBidi" w:hAnsiTheme="majorBidi"/>
          <w:b w:val="0"/>
          <w:bCs w:val="0"/>
          <w:i w:val="0"/>
          <w:iCs w:val="0"/>
          <w:color w:val="auto"/>
          <w:sz w:val="24"/>
          <w:szCs w:val="24"/>
        </w:rPr>
      </w:pPr>
      <w:r w:rsidRPr="00C7347D">
        <w:rPr>
          <w:rFonts w:asciiTheme="majorBidi" w:hAnsiTheme="majorBidi"/>
          <w:i w:val="0"/>
          <w:iCs w:val="0"/>
          <w:noProof/>
          <w:color w:val="auto"/>
          <w:sz w:val="24"/>
          <w:szCs w:val="24"/>
          <w:lang w:eastAsia="fr-FR"/>
        </w:rPr>
        <w:lastRenderedPageBreak/>
        <w:drawing>
          <wp:inline distT="0" distB="0" distL="0" distR="0">
            <wp:extent cx="4678536" cy="3088257"/>
            <wp:effectExtent l="19050" t="0" r="7764" b="0"/>
            <wp:docPr id="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84241" cy="3092023"/>
                    </a:xfrm>
                    <a:prstGeom prst="rect">
                      <a:avLst/>
                    </a:prstGeom>
                    <a:noFill/>
                    <a:ln w="9525">
                      <a:noFill/>
                      <a:miter lim="800000"/>
                      <a:headEnd/>
                      <a:tailEnd/>
                    </a:ln>
                  </pic:spPr>
                </pic:pic>
              </a:graphicData>
            </a:graphic>
          </wp:inline>
        </w:drawing>
      </w:r>
    </w:p>
    <w:p w:rsidR="000660E1" w:rsidRPr="00C7347D" w:rsidRDefault="000660E1" w:rsidP="000660E1">
      <w:pPr>
        <w:pStyle w:val="Titre4"/>
        <w:shd w:val="clear" w:color="auto" w:fill="FFFFFF"/>
        <w:tabs>
          <w:tab w:val="left" w:pos="567"/>
        </w:tabs>
        <w:ind w:left="142" w:firstLine="578"/>
        <w:jc w:val="center"/>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Figure 5: Schématisation  de la stratification verticale</w:t>
      </w:r>
    </w:p>
    <w:p w:rsidR="000660E1" w:rsidRPr="00C7347D" w:rsidRDefault="000660E1" w:rsidP="000660E1">
      <w:pPr>
        <w:pStyle w:val="Titre4"/>
        <w:shd w:val="clear" w:color="auto" w:fill="FFFFFF"/>
        <w:tabs>
          <w:tab w:val="left" w:pos="567"/>
        </w:tabs>
        <w:ind w:firstLine="578"/>
        <w:jc w:val="both"/>
        <w:rPr>
          <w:rFonts w:asciiTheme="majorBidi" w:hAnsiTheme="majorBidi"/>
          <w:i w:val="0"/>
          <w:iCs w:val="0"/>
          <w:color w:val="auto"/>
          <w:sz w:val="24"/>
          <w:szCs w:val="24"/>
        </w:rPr>
      </w:pPr>
      <w:r w:rsidRPr="00C7347D">
        <w:rPr>
          <w:rFonts w:asciiTheme="majorBidi" w:hAnsiTheme="majorBidi"/>
          <w:i w:val="0"/>
          <w:iCs w:val="0"/>
          <w:color w:val="auto"/>
          <w:sz w:val="24"/>
          <w:szCs w:val="24"/>
        </w:rPr>
        <w:t xml:space="preserve">b- Estimation du risque d'incendie   </w:t>
      </w:r>
    </w:p>
    <w:p w:rsidR="000660E1" w:rsidRPr="00C7347D" w:rsidRDefault="000660E1" w:rsidP="000660E1">
      <w:pPr>
        <w:pStyle w:val="Titre4"/>
        <w:shd w:val="clear" w:color="auto" w:fill="FFFFFF"/>
        <w:tabs>
          <w:tab w:val="left" w:pos="567"/>
        </w:tabs>
        <w:spacing w:before="120"/>
        <w:ind w:firstLine="72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L'indice du risque du feu (I.R.F), est une évaluation numérique des différents facteurs de déclenchement/propagation des incendies, il calcule entre autre les sensibilités aux risques. Les paramètres pris en considération sont:</w:t>
      </w:r>
    </w:p>
    <w:p w:rsidR="000660E1" w:rsidRPr="00C7347D" w:rsidRDefault="000660E1" w:rsidP="000660E1">
      <w:pPr>
        <w:pStyle w:val="Titre4"/>
        <w:keepNext w:val="0"/>
        <w:keepLines w:val="0"/>
        <w:numPr>
          <w:ilvl w:val="0"/>
          <w:numId w:val="6"/>
        </w:numPr>
        <w:shd w:val="clear" w:color="auto" w:fill="FFFFFF"/>
        <w:tabs>
          <w:tab w:val="left" w:pos="567"/>
        </w:tabs>
        <w:spacing w:before="120"/>
        <w:ind w:left="993"/>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Nature de la formation végétale;</w:t>
      </w:r>
    </w:p>
    <w:p w:rsidR="000660E1" w:rsidRPr="00C7347D" w:rsidRDefault="000660E1" w:rsidP="000660E1">
      <w:pPr>
        <w:pStyle w:val="Titre4"/>
        <w:keepNext w:val="0"/>
        <w:keepLines w:val="0"/>
        <w:numPr>
          <w:ilvl w:val="0"/>
          <w:numId w:val="6"/>
        </w:numPr>
        <w:shd w:val="clear" w:color="auto" w:fill="FFFFFF"/>
        <w:tabs>
          <w:tab w:val="left" w:pos="567"/>
        </w:tabs>
        <w:spacing w:before="0"/>
        <w:ind w:left="993"/>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Structure de la végétation;</w:t>
      </w:r>
    </w:p>
    <w:tbl>
      <w:tblPr>
        <w:tblStyle w:val="Grilledutableau"/>
        <w:tblpPr w:leftFromText="141" w:rightFromText="141" w:vertAnchor="text" w:horzAnchor="margin" w:tblpXSpec="center" w:tblpY="816"/>
        <w:tblW w:w="0" w:type="auto"/>
        <w:tblLook w:val="04A0"/>
      </w:tblPr>
      <w:tblGrid>
        <w:gridCol w:w="1440"/>
        <w:gridCol w:w="1420"/>
        <w:gridCol w:w="364"/>
        <w:gridCol w:w="1263"/>
        <w:gridCol w:w="1110"/>
        <w:gridCol w:w="1032"/>
        <w:gridCol w:w="456"/>
        <w:gridCol w:w="1437"/>
      </w:tblGrid>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Formation végétale </w:t>
            </w:r>
          </w:p>
        </w:tc>
        <w:tc>
          <w:tcPr>
            <w:tcW w:w="14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Caduques</w:t>
            </w:r>
          </w:p>
        </w:tc>
        <w:tc>
          <w:tcPr>
            <w:tcW w:w="1634"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Sempervirents</w:t>
            </w:r>
          </w:p>
        </w:tc>
        <w:tc>
          <w:tcPr>
            <w:tcW w:w="1110"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Résineux</w:t>
            </w:r>
          </w:p>
        </w:tc>
        <w:tc>
          <w:tcPr>
            <w:tcW w:w="1517"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Broussailles</w:t>
            </w:r>
          </w:p>
        </w:tc>
        <w:tc>
          <w:tcPr>
            <w:tcW w:w="1503"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Herbacées</w:t>
            </w:r>
          </w:p>
        </w:tc>
      </w:tr>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I.R.F</w:t>
            </w:r>
          </w:p>
        </w:tc>
        <w:tc>
          <w:tcPr>
            <w:tcW w:w="14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1</w:t>
            </w:r>
          </w:p>
        </w:tc>
        <w:tc>
          <w:tcPr>
            <w:tcW w:w="1634"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2</w:t>
            </w:r>
          </w:p>
        </w:tc>
        <w:tc>
          <w:tcPr>
            <w:tcW w:w="1110"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3</w:t>
            </w:r>
          </w:p>
        </w:tc>
        <w:tc>
          <w:tcPr>
            <w:tcW w:w="1517"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4</w:t>
            </w:r>
          </w:p>
        </w:tc>
        <w:tc>
          <w:tcPr>
            <w:tcW w:w="1503"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5</w:t>
            </w:r>
          </w:p>
        </w:tc>
      </w:tr>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Structure de la végétation</w:t>
            </w:r>
          </w:p>
        </w:tc>
        <w:tc>
          <w:tcPr>
            <w:tcW w:w="3131" w:type="dxa"/>
            <w:gridSpan w:val="3"/>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Végétation moyenne ≤ 2m</w:t>
            </w:r>
          </w:p>
        </w:tc>
        <w:tc>
          <w:tcPr>
            <w:tcW w:w="4130" w:type="dxa"/>
            <w:gridSpan w:val="4"/>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Végétation moyenne  ≥ 2m</w:t>
            </w:r>
          </w:p>
        </w:tc>
      </w:tr>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I.R.F</w:t>
            </w:r>
          </w:p>
        </w:tc>
        <w:tc>
          <w:tcPr>
            <w:tcW w:w="3131" w:type="dxa"/>
            <w:gridSpan w:val="3"/>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1</w:t>
            </w:r>
          </w:p>
        </w:tc>
        <w:tc>
          <w:tcPr>
            <w:tcW w:w="4130" w:type="dxa"/>
            <w:gridSpan w:val="4"/>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2</w:t>
            </w:r>
          </w:p>
        </w:tc>
      </w:tr>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Densité de la végétation </w:t>
            </w:r>
          </w:p>
        </w:tc>
        <w:tc>
          <w:tcPr>
            <w:tcW w:w="1861"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Très ouvertes</w:t>
            </w:r>
          </w:p>
        </w:tc>
        <w:tc>
          <w:tcPr>
            <w:tcW w:w="1270"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Ouvertes</w:t>
            </w:r>
          </w:p>
        </w:tc>
        <w:tc>
          <w:tcPr>
            <w:tcW w:w="2142"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Peu ouvertes</w:t>
            </w:r>
          </w:p>
        </w:tc>
        <w:tc>
          <w:tcPr>
            <w:tcW w:w="198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Fermée</w:t>
            </w:r>
          </w:p>
        </w:tc>
      </w:tr>
      <w:tr w:rsidR="000660E1" w:rsidRPr="00C7347D" w:rsidTr="00DE0EA2">
        <w:tc>
          <w:tcPr>
            <w:tcW w:w="150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IRF</w:t>
            </w:r>
          </w:p>
        </w:tc>
        <w:tc>
          <w:tcPr>
            <w:tcW w:w="1861"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1</w:t>
            </w:r>
          </w:p>
        </w:tc>
        <w:tc>
          <w:tcPr>
            <w:tcW w:w="1270"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2</w:t>
            </w:r>
          </w:p>
        </w:tc>
        <w:tc>
          <w:tcPr>
            <w:tcW w:w="2142"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3</w:t>
            </w:r>
          </w:p>
        </w:tc>
        <w:tc>
          <w:tcPr>
            <w:tcW w:w="198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4</w:t>
            </w:r>
          </w:p>
        </w:tc>
      </w:tr>
    </w:tbl>
    <w:p w:rsidR="000660E1" w:rsidRPr="00C7347D" w:rsidRDefault="000660E1" w:rsidP="000660E1">
      <w:pPr>
        <w:pStyle w:val="Titre4"/>
        <w:keepNext w:val="0"/>
        <w:keepLines w:val="0"/>
        <w:numPr>
          <w:ilvl w:val="0"/>
          <w:numId w:val="6"/>
        </w:numPr>
        <w:shd w:val="clear" w:color="auto" w:fill="FFFFFF"/>
        <w:tabs>
          <w:tab w:val="left" w:pos="567"/>
        </w:tabs>
        <w:spacing w:before="0"/>
        <w:ind w:left="993"/>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Densité de la végétation</w:t>
      </w:r>
    </w:p>
    <w:p w:rsidR="000660E1" w:rsidRPr="00C7347D" w:rsidRDefault="000660E1" w:rsidP="000660E1">
      <w:pPr>
        <w:pStyle w:val="Titre4"/>
        <w:tabs>
          <w:tab w:val="left" w:pos="567"/>
        </w:tabs>
        <w:spacing w:before="12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lastRenderedPageBreak/>
        <w:tab/>
        <w:t>La somme des "IRF" donne les niveaux de risques suivants:</w:t>
      </w:r>
    </w:p>
    <w:p w:rsidR="000660E1" w:rsidRPr="00C7347D" w:rsidRDefault="000660E1" w:rsidP="000660E1">
      <w:pPr>
        <w:pStyle w:val="Titre4"/>
        <w:tabs>
          <w:tab w:val="left" w:pos="567"/>
        </w:tabs>
        <w:spacing w:before="12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Une somme inferieure 6 : très peu de risque</w:t>
      </w:r>
    </w:p>
    <w:p w:rsidR="000660E1" w:rsidRPr="00C7347D" w:rsidRDefault="000660E1" w:rsidP="000660E1">
      <w:pPr>
        <w:pStyle w:val="Titre4"/>
        <w:tabs>
          <w:tab w:val="left" w:pos="567"/>
        </w:tabs>
        <w:spacing w:before="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 Une somme de 7 à 10: Risques modérés </w:t>
      </w:r>
    </w:p>
    <w:p w:rsidR="000660E1" w:rsidRPr="00C7347D" w:rsidRDefault="000660E1" w:rsidP="000660E1">
      <w:pPr>
        <w:pStyle w:val="Titre4"/>
        <w:tabs>
          <w:tab w:val="left" w:pos="567"/>
        </w:tabs>
        <w:spacing w:before="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Une somme de 11 à 13: Risques élevés</w:t>
      </w:r>
    </w:p>
    <w:p w:rsidR="000660E1" w:rsidRPr="00C7347D" w:rsidRDefault="000660E1" w:rsidP="000660E1">
      <w:pPr>
        <w:pStyle w:val="Titre4"/>
        <w:tabs>
          <w:tab w:val="left" w:pos="567"/>
        </w:tabs>
        <w:spacing w:before="0"/>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Une somme supérieure à 13: Risques très  élevés</w:t>
      </w:r>
    </w:p>
    <w:p w:rsidR="000660E1" w:rsidRPr="00C7347D" w:rsidRDefault="000660E1" w:rsidP="000660E1">
      <w:pPr>
        <w:pStyle w:val="Titre4"/>
        <w:tabs>
          <w:tab w:val="left" w:pos="567"/>
        </w:tabs>
        <w:spacing w:before="0"/>
        <w:jc w:val="both"/>
        <w:rPr>
          <w:rFonts w:asciiTheme="majorBidi" w:hAnsiTheme="majorBidi"/>
          <w:b w:val="0"/>
          <w:bCs w:val="0"/>
          <w:i w:val="0"/>
          <w:iCs w:val="0"/>
          <w:color w:val="auto"/>
          <w:sz w:val="24"/>
          <w:szCs w:val="24"/>
        </w:rPr>
      </w:pPr>
    </w:p>
    <w:p w:rsidR="000660E1" w:rsidRPr="00C7347D" w:rsidRDefault="000660E1" w:rsidP="000660E1">
      <w:pPr>
        <w:pStyle w:val="Titre4"/>
        <w:tabs>
          <w:tab w:val="left" w:pos="567"/>
        </w:tabs>
        <w:spacing w:before="0"/>
        <w:jc w:val="both"/>
        <w:rPr>
          <w:rFonts w:asciiTheme="majorBidi" w:hAnsiTheme="majorBidi"/>
          <w:b w:val="0"/>
          <w:bCs w:val="0"/>
          <w:i w:val="0"/>
          <w:iCs w:val="0"/>
          <w:color w:val="auto"/>
          <w:sz w:val="24"/>
          <w:szCs w:val="24"/>
        </w:rPr>
      </w:pPr>
      <w:r w:rsidRPr="00C7347D">
        <w:rPr>
          <w:rFonts w:asciiTheme="majorBidi" w:hAnsiTheme="majorBidi"/>
          <w:i w:val="0"/>
          <w:iCs w:val="0"/>
          <w:color w:val="auto"/>
          <w:sz w:val="24"/>
          <w:szCs w:val="24"/>
        </w:rPr>
        <w:t>c- le temps de réponse</w:t>
      </w:r>
    </w:p>
    <w:p w:rsidR="000660E1" w:rsidRPr="00C7347D" w:rsidRDefault="000660E1" w:rsidP="000660E1">
      <w:pPr>
        <w:pStyle w:val="Titre4"/>
        <w:shd w:val="clear" w:color="auto" w:fill="FFFFFF"/>
        <w:tabs>
          <w:tab w:val="left" w:pos="567"/>
        </w:tabs>
        <w:spacing w:before="120"/>
        <w:ind w:left="142" w:firstLine="578"/>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C'est le temps que mettent les végétaux pour perdre 03% de leurs excédents d'humidité par rapport à l'humidité de l'air, les végétaux sont classés ainsi:</w:t>
      </w:r>
    </w:p>
    <w:p w:rsidR="000660E1" w:rsidRPr="00C7347D" w:rsidRDefault="000660E1" w:rsidP="000660E1">
      <w:pPr>
        <w:pStyle w:val="Titre4"/>
        <w:keepNext w:val="0"/>
        <w:keepLines w:val="0"/>
        <w:numPr>
          <w:ilvl w:val="0"/>
          <w:numId w:val="7"/>
        </w:numPr>
        <w:shd w:val="clear" w:color="auto" w:fill="FFFFFF"/>
        <w:tabs>
          <w:tab w:val="left" w:pos="567"/>
        </w:tabs>
        <w:spacing w:before="120"/>
        <w:ind w:left="113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De 00- 02 heures: plantes herbacées mortes, les éléments ligneux inferieures à 6 mm de diamètre, les feuilles et les brindilles;</w:t>
      </w:r>
    </w:p>
    <w:p w:rsidR="000660E1" w:rsidRPr="00C7347D" w:rsidRDefault="000660E1" w:rsidP="000660E1">
      <w:pPr>
        <w:pStyle w:val="Titre4"/>
        <w:keepNext w:val="0"/>
        <w:keepLines w:val="0"/>
        <w:numPr>
          <w:ilvl w:val="0"/>
          <w:numId w:val="7"/>
        </w:numPr>
        <w:shd w:val="clear" w:color="auto" w:fill="FFFFFF"/>
        <w:tabs>
          <w:tab w:val="left" w:pos="567"/>
        </w:tabs>
        <w:spacing w:before="100" w:beforeAutospacing="1"/>
        <w:ind w:left="113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De 02- 20 heures: les éléments ligneux de 6 à 25 mm de diamètre;</w:t>
      </w:r>
    </w:p>
    <w:p w:rsidR="000660E1" w:rsidRPr="00C7347D" w:rsidRDefault="000660E1" w:rsidP="000660E1">
      <w:pPr>
        <w:pStyle w:val="Titre4"/>
        <w:keepNext w:val="0"/>
        <w:keepLines w:val="0"/>
        <w:numPr>
          <w:ilvl w:val="0"/>
          <w:numId w:val="7"/>
        </w:numPr>
        <w:shd w:val="clear" w:color="auto" w:fill="FFFFFF"/>
        <w:tabs>
          <w:tab w:val="left" w:pos="567"/>
        </w:tabs>
        <w:spacing w:before="100" w:beforeAutospacing="1"/>
        <w:ind w:left="1134"/>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De 02- 20 heures: les éléments ligneux de 25 à 75 mm de diamètre.</w:t>
      </w:r>
    </w:p>
    <w:p w:rsidR="000660E1" w:rsidRPr="00C7347D" w:rsidRDefault="000660E1" w:rsidP="000660E1">
      <w:pPr>
        <w:pStyle w:val="Titre4"/>
        <w:keepNext w:val="0"/>
        <w:keepLines w:val="0"/>
        <w:shd w:val="clear" w:color="auto" w:fill="FFFFFF"/>
        <w:tabs>
          <w:tab w:val="left" w:pos="567"/>
        </w:tabs>
        <w:spacing w:before="100" w:beforeAutospacing="1"/>
        <w:jc w:val="both"/>
        <w:rPr>
          <w:rFonts w:asciiTheme="majorBidi" w:hAnsiTheme="majorBidi"/>
          <w:b w:val="0"/>
          <w:bCs w:val="0"/>
          <w:i w:val="0"/>
          <w:iCs w:val="0"/>
          <w:color w:val="auto"/>
          <w:sz w:val="24"/>
          <w:szCs w:val="24"/>
        </w:rPr>
      </w:pPr>
      <w:r w:rsidRPr="00C7347D">
        <w:rPr>
          <w:rFonts w:asciiTheme="majorBidi" w:hAnsiTheme="majorBidi"/>
          <w:i w:val="0"/>
          <w:iCs w:val="0"/>
          <w:color w:val="auto"/>
          <w:sz w:val="24"/>
          <w:szCs w:val="24"/>
        </w:rPr>
        <w:t>d- le taux de couvert</w:t>
      </w:r>
    </w:p>
    <w:p w:rsidR="000660E1" w:rsidRPr="00C7347D" w:rsidRDefault="000660E1" w:rsidP="000660E1">
      <w:pPr>
        <w:pStyle w:val="Titre4"/>
        <w:shd w:val="clear" w:color="auto" w:fill="FFFFFF"/>
        <w:tabs>
          <w:tab w:val="left" w:pos="567"/>
        </w:tabs>
        <w:spacing w:before="120"/>
        <w:ind w:left="142" w:firstLine="578"/>
        <w:jc w:val="both"/>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Les peuplements sont classés de 1 à 9 du moins combustible au plus combustible selon le couvert arboré. </w:t>
      </w:r>
    </w:p>
    <w:p w:rsidR="000660E1" w:rsidRPr="00C7347D" w:rsidRDefault="000660E1" w:rsidP="000660E1">
      <w:pPr>
        <w:pStyle w:val="Titre4"/>
        <w:shd w:val="clear" w:color="auto" w:fill="FFFFFF"/>
        <w:tabs>
          <w:tab w:val="left" w:pos="567"/>
        </w:tabs>
        <w:spacing w:before="120"/>
        <w:ind w:left="142" w:firstLine="578"/>
        <w:jc w:val="both"/>
        <w:rPr>
          <w:rFonts w:asciiTheme="majorBidi" w:hAnsiTheme="majorBidi"/>
          <w:b w:val="0"/>
          <w:bCs w:val="0"/>
          <w:i w:val="0"/>
          <w:iCs w:val="0"/>
          <w:color w:val="auto"/>
          <w:sz w:val="24"/>
          <w:szCs w:val="24"/>
        </w:rPr>
      </w:pPr>
    </w:p>
    <w:tbl>
      <w:tblPr>
        <w:tblStyle w:val="Grilledutableau"/>
        <w:tblW w:w="0" w:type="auto"/>
        <w:tblInd w:w="142" w:type="dxa"/>
        <w:tblLook w:val="04A0"/>
      </w:tblPr>
      <w:tblGrid>
        <w:gridCol w:w="1955"/>
        <w:gridCol w:w="2305"/>
        <w:gridCol w:w="3503"/>
        <w:gridCol w:w="617"/>
      </w:tblGrid>
      <w:tr w:rsidR="000660E1" w:rsidRPr="00C7347D" w:rsidTr="00DE0EA2">
        <w:tc>
          <w:tcPr>
            <w:tcW w:w="2093" w:type="dxa"/>
            <w:vMerge w:val="restart"/>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Biovolume faible</w:t>
            </w:r>
          </w:p>
        </w:tc>
        <w:tc>
          <w:tcPr>
            <w:tcW w:w="2481"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&lt; 10%</w:t>
            </w:r>
          </w:p>
        </w:tc>
        <w:tc>
          <w:tcPr>
            <w:tcW w:w="38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Garrigue basse</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1</w:t>
            </w:r>
          </w:p>
        </w:tc>
      </w:tr>
      <w:tr w:rsidR="000660E1" w:rsidRPr="00C7347D" w:rsidTr="00DE0EA2">
        <w:tc>
          <w:tcPr>
            <w:tcW w:w="2093"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2481" w:type="dxa"/>
            <w:vMerge w:val="restart"/>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Peuplements</w:t>
            </w:r>
          </w:p>
        </w:tc>
        <w:tc>
          <w:tcPr>
            <w:tcW w:w="38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Très ouverts, garrigue haute</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2</w:t>
            </w:r>
          </w:p>
        </w:tc>
      </w:tr>
      <w:tr w:rsidR="000660E1" w:rsidRPr="00C7347D" w:rsidTr="00DE0EA2">
        <w:tc>
          <w:tcPr>
            <w:tcW w:w="2093"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2481"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38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 xml:space="preserve">Fortement éclaircis et débroussaillés </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3</w:t>
            </w:r>
          </w:p>
        </w:tc>
      </w:tr>
      <w:tr w:rsidR="000660E1" w:rsidRPr="00C7347D" w:rsidTr="00DE0EA2">
        <w:tc>
          <w:tcPr>
            <w:tcW w:w="2093" w:type="dxa"/>
            <w:vMerge w:val="restart"/>
          </w:tcPr>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Strate arborée</w:t>
            </w:r>
          </w:p>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&gt; 10m</w:t>
            </w:r>
          </w:p>
        </w:tc>
        <w:tc>
          <w:tcPr>
            <w:tcW w:w="2481" w:type="dxa"/>
            <w:vMerge w:val="restart"/>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&lt; 60%</w:t>
            </w:r>
          </w:p>
        </w:tc>
        <w:tc>
          <w:tcPr>
            <w:tcW w:w="38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herbacé &lt; 60 %</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4</w:t>
            </w:r>
          </w:p>
        </w:tc>
      </w:tr>
      <w:tr w:rsidR="000660E1" w:rsidRPr="00C7347D" w:rsidTr="00DE0EA2">
        <w:tc>
          <w:tcPr>
            <w:tcW w:w="2093" w:type="dxa"/>
            <w:vMerge/>
          </w:tcPr>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p>
        </w:tc>
        <w:tc>
          <w:tcPr>
            <w:tcW w:w="2481"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3897"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herbacé &gt;60 %</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5</w:t>
            </w:r>
          </w:p>
        </w:tc>
      </w:tr>
      <w:tr w:rsidR="000660E1" w:rsidRPr="00C7347D" w:rsidTr="00DE0EA2">
        <w:tc>
          <w:tcPr>
            <w:tcW w:w="2093" w:type="dxa"/>
            <w:vMerge/>
          </w:tcPr>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p>
        </w:tc>
        <w:tc>
          <w:tcPr>
            <w:tcW w:w="637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&gt; 60%</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6</w:t>
            </w:r>
          </w:p>
        </w:tc>
      </w:tr>
      <w:tr w:rsidR="000660E1" w:rsidRPr="00C7347D" w:rsidTr="00DE0EA2">
        <w:tc>
          <w:tcPr>
            <w:tcW w:w="2093" w:type="dxa"/>
            <w:vMerge w:val="restart"/>
          </w:tcPr>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Strate arborée</w:t>
            </w:r>
          </w:p>
          <w:p w:rsidR="000660E1" w:rsidRPr="00C7347D" w:rsidRDefault="000660E1" w:rsidP="00DE0EA2">
            <w:pPr>
              <w:pStyle w:val="Titre4"/>
              <w:tabs>
                <w:tab w:val="left" w:pos="567"/>
              </w:tabs>
              <w:spacing w:before="0"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&lt; 10m</w:t>
            </w:r>
          </w:p>
        </w:tc>
        <w:tc>
          <w:tcPr>
            <w:tcW w:w="637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discontinu</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7</w:t>
            </w:r>
          </w:p>
        </w:tc>
      </w:tr>
      <w:tr w:rsidR="000660E1" w:rsidRPr="00C7347D" w:rsidTr="00DE0EA2">
        <w:tc>
          <w:tcPr>
            <w:tcW w:w="2093"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637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&lt; 60%</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8</w:t>
            </w:r>
          </w:p>
        </w:tc>
      </w:tr>
      <w:tr w:rsidR="000660E1" w:rsidRPr="00C7347D" w:rsidTr="00DE0EA2">
        <w:tc>
          <w:tcPr>
            <w:tcW w:w="2093" w:type="dxa"/>
            <w:vMerge/>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p>
        </w:tc>
        <w:tc>
          <w:tcPr>
            <w:tcW w:w="6378" w:type="dxa"/>
            <w:gridSpan w:val="2"/>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Couvert arboré &gt;60%</w:t>
            </w:r>
          </w:p>
        </w:tc>
        <w:tc>
          <w:tcPr>
            <w:tcW w:w="675" w:type="dxa"/>
          </w:tcPr>
          <w:p w:rsidR="000660E1" w:rsidRPr="00C7347D" w:rsidRDefault="000660E1" w:rsidP="00DE0EA2">
            <w:pPr>
              <w:pStyle w:val="Titre4"/>
              <w:tabs>
                <w:tab w:val="left" w:pos="567"/>
              </w:tabs>
              <w:spacing w:line="276" w:lineRule="auto"/>
              <w:jc w:val="both"/>
              <w:outlineLvl w:val="3"/>
              <w:rPr>
                <w:rFonts w:asciiTheme="majorBidi" w:hAnsiTheme="majorBidi"/>
                <w:b w:val="0"/>
                <w:bCs w:val="0"/>
                <w:i w:val="0"/>
                <w:iCs w:val="0"/>
                <w:color w:val="auto"/>
                <w:sz w:val="24"/>
                <w:szCs w:val="24"/>
              </w:rPr>
            </w:pPr>
            <w:r w:rsidRPr="00C7347D">
              <w:rPr>
                <w:rFonts w:asciiTheme="majorBidi" w:hAnsiTheme="majorBidi"/>
                <w:b w:val="0"/>
                <w:bCs w:val="0"/>
                <w:i w:val="0"/>
                <w:iCs w:val="0"/>
                <w:color w:val="auto"/>
                <w:sz w:val="24"/>
                <w:szCs w:val="24"/>
              </w:rPr>
              <w:t>9</w:t>
            </w:r>
          </w:p>
        </w:tc>
      </w:tr>
    </w:tbl>
    <w:p w:rsidR="000660E1" w:rsidRPr="00C7347D" w:rsidRDefault="000660E1" w:rsidP="000660E1">
      <w:pPr>
        <w:pStyle w:val="Titre4"/>
        <w:shd w:val="clear" w:color="auto" w:fill="FFFFFF"/>
        <w:tabs>
          <w:tab w:val="left" w:pos="567"/>
        </w:tabs>
        <w:ind w:left="142" w:firstLine="578"/>
        <w:jc w:val="both"/>
        <w:rPr>
          <w:rFonts w:asciiTheme="majorBidi" w:hAnsiTheme="majorBidi"/>
          <w:b w:val="0"/>
          <w:bCs w:val="0"/>
          <w:i w:val="0"/>
          <w:iCs w:val="0"/>
          <w:color w:val="auto"/>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r w:rsidRPr="00C7347D">
        <w:rPr>
          <w:rFonts w:asciiTheme="majorBidi" w:hAnsiTheme="majorBidi" w:cstheme="majorBidi"/>
          <w:b/>
          <w:bCs/>
          <w:sz w:val="24"/>
          <w:szCs w:val="24"/>
        </w:rPr>
        <w:t>e- le degré d'inflammabilité</w:t>
      </w:r>
      <w:r w:rsidRPr="00C7347D">
        <w:rPr>
          <w:rFonts w:asciiTheme="majorBidi" w:hAnsiTheme="majorBidi" w:cstheme="majorBidi"/>
          <w:sz w:val="24"/>
          <w:szCs w:val="24"/>
        </w:rPr>
        <w:tab/>
      </w:r>
    </w:p>
    <w:p w:rsidR="000660E1" w:rsidRPr="00C7347D" w:rsidRDefault="000660E1" w:rsidP="000660E1">
      <w:pPr>
        <w:tabs>
          <w:tab w:val="left" w:pos="567"/>
          <w:tab w:val="left" w:pos="3328"/>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C'est la facilité avec laquelle un végétal s'enflamme après son exposition à un rayonnement calorifique constant. Alors que la combustibilité  caractérise l'aptitude </w:t>
      </w:r>
      <w:r w:rsidRPr="00C7347D">
        <w:rPr>
          <w:rFonts w:asciiTheme="majorBidi" w:hAnsiTheme="majorBidi" w:cstheme="majorBidi"/>
          <w:sz w:val="24"/>
          <w:szCs w:val="24"/>
        </w:rPr>
        <w:lastRenderedPageBreak/>
        <w:t>d'une formation végétale à propager l'incendie en traduisant l’intensité du feu qu’elle peut alimenter, de par ses caractéristiques.</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L’inflammabilité peut être définie pour un élément végétal (rameau, feuille, fragment d’écorce), pour une espèce végétale ou pour une formation végétale.</w:t>
      </w:r>
    </w:p>
    <w:p w:rsidR="000660E1"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La mesure du temps d'inflammation qui s'écoule entre la présentation d'un échantillon végétal à la source de chaleur et l'apparition des premières flammes, permet de classer les différentes espèces végétales  et leurs formes</w:t>
      </w:r>
    </w:p>
    <w:p w:rsidR="000660E1"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noProof/>
          <w:sz w:val="24"/>
          <w:szCs w:val="24"/>
        </w:rPr>
        <w:drawing>
          <wp:inline distT="0" distB="0" distL="0" distR="0">
            <wp:extent cx="5760720" cy="2972763"/>
            <wp:effectExtent l="19050" t="0" r="0" b="0"/>
            <wp:docPr id="2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60720" cy="2972763"/>
                    </a:xfrm>
                    <a:prstGeom prst="rect">
                      <a:avLst/>
                    </a:prstGeom>
                    <a:noFill/>
                    <a:ln w="9525">
                      <a:noFill/>
                      <a:miter lim="800000"/>
                      <a:headEnd/>
                      <a:tailEnd/>
                    </a:ln>
                  </pic:spPr>
                </pic:pic>
              </a:graphicData>
            </a:graphic>
          </wp:inline>
        </w:drawing>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center"/>
        <w:rPr>
          <w:rFonts w:asciiTheme="majorBidi" w:hAnsiTheme="majorBidi" w:cstheme="majorBidi"/>
          <w:sz w:val="24"/>
          <w:szCs w:val="24"/>
        </w:rPr>
      </w:pPr>
      <w:r w:rsidRPr="00C7347D">
        <w:rPr>
          <w:rFonts w:asciiTheme="majorBidi" w:hAnsiTheme="majorBidi" w:cstheme="majorBidi"/>
          <w:sz w:val="24"/>
          <w:szCs w:val="24"/>
        </w:rPr>
        <w:t>Figure 6: schéma d'un épi radiateur</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before="120" w:after="0"/>
        <w:jc w:val="both"/>
        <w:rPr>
          <w:rFonts w:asciiTheme="majorBidi" w:hAnsiTheme="majorBidi" w:cstheme="majorBidi"/>
          <w:sz w:val="24"/>
          <w:szCs w:val="24"/>
        </w:rPr>
      </w:pPr>
      <w:r w:rsidRPr="00C7347D">
        <w:rPr>
          <w:rFonts w:asciiTheme="majorBidi" w:hAnsiTheme="majorBidi" w:cstheme="majorBidi"/>
          <w:sz w:val="24"/>
          <w:szCs w:val="24"/>
        </w:rPr>
        <w:t>Cet outil permet actuellement de connaître :</w:t>
      </w:r>
    </w:p>
    <w:p w:rsidR="000660E1" w:rsidRPr="00C7347D" w:rsidRDefault="000660E1" w:rsidP="000660E1">
      <w:pPr>
        <w:pStyle w:val="Paragraphedeliste"/>
        <w:numPr>
          <w:ilvl w:val="0"/>
          <w:numId w:val="8"/>
        </w:numPr>
        <w:tabs>
          <w:tab w:val="left" w:pos="567"/>
        </w:tabs>
        <w:autoSpaceDE w:val="0"/>
        <w:autoSpaceDN w:val="0"/>
        <w:adjustRightInd w:val="0"/>
        <w:spacing w:before="120" w:line="276" w:lineRule="auto"/>
        <w:jc w:val="both"/>
        <w:rPr>
          <w:rFonts w:asciiTheme="majorBidi" w:hAnsiTheme="majorBidi" w:cstheme="majorBidi"/>
          <w:sz w:val="24"/>
          <w:szCs w:val="24"/>
        </w:rPr>
      </w:pPr>
      <w:r w:rsidRPr="00C7347D">
        <w:rPr>
          <w:rFonts w:asciiTheme="majorBidi" w:hAnsiTheme="majorBidi" w:cstheme="majorBidi"/>
          <w:sz w:val="24"/>
          <w:szCs w:val="24"/>
        </w:rPr>
        <w:t>l'allure de la montée en température de l'échantillon : la soudure se trouve au contact du végétal et derrière l'écran constitué par ce dernier;</w:t>
      </w:r>
    </w:p>
    <w:p w:rsidR="000660E1" w:rsidRPr="00C7347D" w:rsidRDefault="000660E1" w:rsidP="000660E1">
      <w:pPr>
        <w:pStyle w:val="Paragraphedeliste"/>
        <w:numPr>
          <w:ilvl w:val="0"/>
          <w:numId w:val="8"/>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le temps d'inflammabilité;</w:t>
      </w:r>
    </w:p>
    <w:p w:rsidR="000660E1" w:rsidRPr="00C7347D" w:rsidRDefault="000660E1" w:rsidP="000660E1">
      <w:pPr>
        <w:pStyle w:val="Paragraphedeliste"/>
        <w:numPr>
          <w:ilvl w:val="0"/>
          <w:numId w:val="8"/>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forme et la couleur des flammes des combustions;</w:t>
      </w:r>
    </w:p>
    <w:p w:rsidR="000660E1" w:rsidRPr="00C7347D" w:rsidRDefault="000660E1" w:rsidP="000660E1">
      <w:pPr>
        <w:pStyle w:val="Paragraphedeliste"/>
        <w:numPr>
          <w:ilvl w:val="0"/>
          <w:numId w:val="8"/>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durée de la combustion, l'apport calorifique étant constant;</w:t>
      </w:r>
    </w:p>
    <w:p w:rsidR="000660E1" w:rsidRPr="00C7347D" w:rsidRDefault="000660E1" w:rsidP="000660E1">
      <w:pPr>
        <w:pStyle w:val="Paragraphedeliste"/>
        <w:numPr>
          <w:ilvl w:val="0"/>
          <w:numId w:val="8"/>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le poids et la couleur des cendres;</w:t>
      </w:r>
    </w:p>
    <w:p w:rsidR="000660E1" w:rsidRPr="00C7347D" w:rsidRDefault="000660E1" w:rsidP="000660E1">
      <w:pPr>
        <w:pStyle w:val="Paragraphedeliste"/>
        <w:numPr>
          <w:ilvl w:val="0"/>
          <w:numId w:val="8"/>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une idée des énergies mises en jeu.</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noProof/>
          <w:sz w:val="24"/>
          <w:szCs w:val="24"/>
        </w:rPr>
        <w:lastRenderedPageBreak/>
        <w:drawing>
          <wp:inline distT="0" distB="0" distL="0" distR="0">
            <wp:extent cx="6002188" cy="7030528"/>
            <wp:effectExtent l="19050" t="0" r="0" b="0"/>
            <wp:docPr id="2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2188" cy="7030528"/>
                    </a:xfrm>
                    <a:prstGeom prst="rect">
                      <a:avLst/>
                    </a:prstGeom>
                    <a:noFill/>
                    <a:ln w="9525">
                      <a:noFill/>
                      <a:miter lim="800000"/>
                      <a:headEnd/>
                      <a:tailEnd/>
                    </a:ln>
                  </pic:spPr>
                </pic:pic>
              </a:graphicData>
            </a:graphic>
          </wp:inline>
        </w:drawing>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center"/>
        <w:rPr>
          <w:rFonts w:asciiTheme="majorBidi" w:hAnsiTheme="majorBidi" w:cstheme="majorBidi"/>
          <w:sz w:val="24"/>
          <w:szCs w:val="24"/>
        </w:rPr>
      </w:pPr>
      <w:r w:rsidRPr="00C7347D">
        <w:rPr>
          <w:rFonts w:asciiTheme="majorBidi" w:hAnsiTheme="majorBidi" w:cstheme="majorBidi"/>
          <w:sz w:val="24"/>
          <w:szCs w:val="24"/>
        </w:rPr>
        <w:t>Figure 7 : Inflammabilité de quelques essences</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lastRenderedPageBreak/>
        <w:t>Les phénomènes observés correspondent à:</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A- correspond à l'installation du thermocouple immédiatement après l'introduction de l'échantillon,</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B-  indique l'apparition des fumées blanches qui se colorent par la suite.</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 xml:space="preserve">La variation de température entre A et B est très rapide avec le chêne-liège. Les </w:t>
      </w:r>
      <w:r w:rsidRPr="00C7347D">
        <w:rPr>
          <w:rFonts w:asciiTheme="majorBidi" w:hAnsiTheme="majorBidi" w:cstheme="majorBidi"/>
          <w:sz w:val="24"/>
          <w:szCs w:val="24"/>
        </w:rPr>
        <w:tab/>
        <w:t xml:space="preserve">échantillons se déforment, leur couleur s'altère, mais sans dégagement gazeux </w:t>
      </w:r>
      <w:r w:rsidRPr="00C7347D">
        <w:rPr>
          <w:rFonts w:asciiTheme="majorBidi" w:hAnsiTheme="majorBidi" w:cstheme="majorBidi"/>
          <w:sz w:val="24"/>
          <w:szCs w:val="24"/>
        </w:rPr>
        <w:tab/>
        <w:t>important. En B, la dessiccation commence.</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C-  est caractérisé par les premiers points incandescents à proximité de la source de chaleur. Les fumées s'épaississent et leurs compositions varient.</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 xml:space="preserve">La variation de température entre B et C est faible. La température peut même baisser </w:t>
      </w:r>
      <w:r w:rsidRPr="00C7347D">
        <w:rPr>
          <w:rFonts w:asciiTheme="majorBidi" w:hAnsiTheme="majorBidi" w:cstheme="majorBidi"/>
          <w:sz w:val="24"/>
          <w:szCs w:val="24"/>
        </w:rPr>
        <w:tab/>
        <w:t xml:space="preserve">comme avec l'arbousier et ce phénomène correspond vraisemblablement à la </w:t>
      </w:r>
      <w:r w:rsidRPr="00C7347D">
        <w:rPr>
          <w:rFonts w:asciiTheme="majorBidi" w:hAnsiTheme="majorBidi" w:cstheme="majorBidi"/>
          <w:sz w:val="24"/>
          <w:szCs w:val="24"/>
        </w:rPr>
        <w:tab/>
        <w:t>volatilisation de l'eau «liée» des cellules et de certaines essences</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D- est l'embrasement, l'apparition de flammes n'entraînant pas de modification dans la montée en température. Cet embrasement ne se produit pas toujours : l'arbousier et le ciste de Montpellier sont les meilleurs exemples.</w:t>
      </w:r>
    </w:p>
    <w:p w:rsidR="000660E1" w:rsidRPr="00C7347D" w:rsidRDefault="000660E1" w:rsidP="000660E1">
      <w:pPr>
        <w:pStyle w:val="Paragraphedeliste"/>
        <w:numPr>
          <w:ilvl w:val="0"/>
          <w:numId w:val="1"/>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E- donne la température maximum atteinte, les braises ayant disparu ne laissant que des cendres blanchâtres et pulvérulentes, soit charbonneuses et craquantes pour les végétaux ne soit s'étant pas enflammés.</w:t>
      </w:r>
    </w:p>
    <w:p w:rsidR="000660E1" w:rsidRPr="00C7347D" w:rsidRDefault="000660E1" w:rsidP="000660E1">
      <w:pPr>
        <w:pStyle w:val="Paragraphedeliste"/>
        <w:tabs>
          <w:tab w:val="left" w:pos="567"/>
        </w:tabs>
        <w:autoSpaceDE w:val="0"/>
        <w:autoSpaceDN w:val="0"/>
        <w:adjustRightInd w:val="0"/>
        <w:jc w:val="both"/>
        <w:rPr>
          <w:rFonts w:asciiTheme="majorBidi" w:hAnsiTheme="majorBidi" w:cstheme="majorBidi"/>
          <w:sz w:val="24"/>
          <w:szCs w:val="24"/>
        </w:rPr>
      </w:pPr>
    </w:p>
    <w:p w:rsidR="000660E1" w:rsidRPr="00C7347D" w:rsidRDefault="000660E1" w:rsidP="000660E1">
      <w:pPr>
        <w:pStyle w:val="Paragraphedeliste"/>
        <w:tabs>
          <w:tab w:val="left" w:pos="567"/>
        </w:tabs>
        <w:autoSpaceDE w:val="0"/>
        <w:autoSpaceDN w:val="0"/>
        <w:adjustRightInd w:val="0"/>
        <w:ind w:left="0"/>
        <w:jc w:val="both"/>
        <w:rPr>
          <w:rFonts w:asciiTheme="majorBidi" w:hAnsiTheme="majorBidi" w:cstheme="majorBidi"/>
          <w:sz w:val="24"/>
          <w:szCs w:val="24"/>
        </w:rPr>
      </w:pPr>
      <w:r w:rsidRPr="00C7347D">
        <w:rPr>
          <w:rFonts w:asciiTheme="majorBidi" w:hAnsiTheme="majorBidi" w:cstheme="majorBidi"/>
          <w:sz w:val="24"/>
          <w:szCs w:val="24"/>
        </w:rPr>
        <w:tab/>
        <w:t xml:space="preserve">Le test d'inflammabilité donne </w:t>
      </w:r>
      <w:proofErr w:type="gramStart"/>
      <w:r w:rsidRPr="00C7347D">
        <w:rPr>
          <w:rFonts w:asciiTheme="majorBidi" w:hAnsiTheme="majorBidi" w:cstheme="majorBidi"/>
          <w:sz w:val="24"/>
          <w:szCs w:val="24"/>
        </w:rPr>
        <w:t>les niveau</w:t>
      </w:r>
      <w:proofErr w:type="gramEnd"/>
      <w:r w:rsidRPr="00C7347D">
        <w:rPr>
          <w:rFonts w:asciiTheme="majorBidi" w:hAnsiTheme="majorBidi" w:cstheme="majorBidi"/>
          <w:sz w:val="24"/>
          <w:szCs w:val="24"/>
        </w:rPr>
        <w:t xml:space="preserve"> d'inflammabilité (tableau 2) et la note de combustibilité (tableau 3).</w:t>
      </w:r>
    </w:p>
    <w:p w:rsidR="000660E1" w:rsidRPr="00C7347D" w:rsidRDefault="000660E1" w:rsidP="000660E1">
      <w:pPr>
        <w:pStyle w:val="Paragraphedeliste"/>
        <w:tabs>
          <w:tab w:val="left" w:pos="567"/>
        </w:tabs>
        <w:autoSpaceDE w:val="0"/>
        <w:autoSpaceDN w:val="0"/>
        <w:adjustRightInd w:val="0"/>
        <w:ind w:left="0"/>
        <w:jc w:val="both"/>
        <w:rPr>
          <w:rFonts w:asciiTheme="majorBidi" w:hAnsiTheme="majorBidi" w:cstheme="majorBidi"/>
          <w:sz w:val="24"/>
          <w:szCs w:val="24"/>
        </w:rPr>
      </w:pPr>
    </w:p>
    <w:p w:rsidR="000660E1" w:rsidRPr="00C7347D" w:rsidRDefault="000660E1" w:rsidP="000660E1">
      <w:pPr>
        <w:pStyle w:val="Paragraphedeliste"/>
        <w:tabs>
          <w:tab w:val="left" w:pos="567"/>
        </w:tabs>
        <w:autoSpaceDE w:val="0"/>
        <w:autoSpaceDN w:val="0"/>
        <w:adjustRightInd w:val="0"/>
        <w:ind w:left="0"/>
        <w:jc w:val="both"/>
        <w:rPr>
          <w:rFonts w:asciiTheme="majorBidi" w:hAnsiTheme="majorBidi" w:cstheme="majorBidi"/>
          <w:sz w:val="24"/>
          <w:szCs w:val="24"/>
        </w:rPr>
      </w:pPr>
      <w:r w:rsidRPr="00C7347D">
        <w:rPr>
          <w:rFonts w:asciiTheme="majorBidi" w:hAnsiTheme="majorBidi" w:cstheme="majorBidi"/>
          <w:sz w:val="24"/>
          <w:szCs w:val="24"/>
        </w:rPr>
        <w:t xml:space="preserve">Tableau 2: Classement des principales essences méditerranéennes suivant l'indice d'inflammabilité </w:t>
      </w:r>
    </w:p>
    <w:p w:rsidR="000660E1" w:rsidRPr="00C7347D" w:rsidRDefault="000660E1" w:rsidP="000660E1">
      <w:pPr>
        <w:pStyle w:val="Paragraphedeliste"/>
        <w:tabs>
          <w:tab w:val="left" w:pos="567"/>
        </w:tabs>
        <w:autoSpaceDE w:val="0"/>
        <w:autoSpaceDN w:val="0"/>
        <w:adjustRightInd w:val="0"/>
        <w:jc w:val="both"/>
        <w:rPr>
          <w:rFonts w:asciiTheme="majorBidi" w:hAnsiTheme="majorBidi" w:cstheme="majorBidi"/>
          <w:sz w:val="24"/>
          <w:szCs w:val="24"/>
        </w:rPr>
      </w:pPr>
    </w:p>
    <w:tbl>
      <w:tblPr>
        <w:tblStyle w:val="Grilledutableau"/>
        <w:tblW w:w="0" w:type="auto"/>
        <w:tblInd w:w="720" w:type="dxa"/>
        <w:tblLook w:val="04A0"/>
      </w:tblPr>
      <w:tblGrid>
        <w:gridCol w:w="1654"/>
        <w:gridCol w:w="6148"/>
      </w:tblGrid>
      <w:tr w:rsidR="000660E1" w:rsidRPr="00C7347D" w:rsidTr="00DE0EA2">
        <w:tc>
          <w:tcPr>
            <w:tcW w:w="1656"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Inflammabilité</w:t>
            </w:r>
          </w:p>
        </w:tc>
        <w:tc>
          <w:tcPr>
            <w:tcW w:w="6912"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Essences</w:t>
            </w:r>
          </w:p>
        </w:tc>
      </w:tr>
      <w:tr w:rsidR="000660E1" w:rsidRPr="00C7347D" w:rsidTr="00DE0EA2">
        <w:tc>
          <w:tcPr>
            <w:tcW w:w="1656"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Forte</w:t>
            </w:r>
          </w:p>
        </w:tc>
        <w:tc>
          <w:tcPr>
            <w:tcW w:w="6912"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Bruyère, genêt, chêne vert, pin d'Alep</w:t>
            </w:r>
          </w:p>
        </w:tc>
      </w:tr>
      <w:tr w:rsidR="000660E1" w:rsidRPr="00C7347D" w:rsidTr="00DE0EA2">
        <w:tc>
          <w:tcPr>
            <w:tcW w:w="1656"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Assez forte</w:t>
            </w:r>
          </w:p>
        </w:tc>
        <w:tc>
          <w:tcPr>
            <w:tcW w:w="6912"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Pin maritime, genévrier de Phénicie, buis</w:t>
            </w:r>
          </w:p>
        </w:tc>
      </w:tr>
      <w:tr w:rsidR="000660E1" w:rsidRPr="00C7347D" w:rsidTr="00DE0EA2">
        <w:tc>
          <w:tcPr>
            <w:tcW w:w="1656"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Modéré</w:t>
            </w:r>
          </w:p>
        </w:tc>
        <w:tc>
          <w:tcPr>
            <w:tcW w:w="6912"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Chêne kermès, viorne, ciste de Montpellier, romarin</w:t>
            </w:r>
          </w:p>
        </w:tc>
      </w:tr>
      <w:tr w:rsidR="000660E1" w:rsidRPr="00C7347D" w:rsidTr="00DE0EA2">
        <w:tc>
          <w:tcPr>
            <w:tcW w:w="1656"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Faible</w:t>
            </w:r>
          </w:p>
        </w:tc>
        <w:tc>
          <w:tcPr>
            <w:tcW w:w="6912" w:type="dxa"/>
          </w:tcPr>
          <w:p w:rsidR="000660E1" w:rsidRPr="00C7347D" w:rsidRDefault="000660E1" w:rsidP="00DE0EA2">
            <w:pPr>
              <w:pStyle w:val="Paragraphedeliste"/>
              <w:tabs>
                <w:tab w:val="left" w:pos="567"/>
              </w:tabs>
              <w:autoSpaceDE w:val="0"/>
              <w:autoSpaceDN w:val="0"/>
              <w:adjustRightInd w:val="0"/>
              <w:spacing w:line="276" w:lineRule="auto"/>
              <w:ind w:left="0"/>
              <w:jc w:val="both"/>
              <w:rPr>
                <w:rFonts w:asciiTheme="majorBidi" w:hAnsiTheme="majorBidi" w:cstheme="majorBidi"/>
                <w:sz w:val="24"/>
                <w:szCs w:val="24"/>
              </w:rPr>
            </w:pPr>
            <w:r w:rsidRPr="00C7347D">
              <w:rPr>
                <w:rFonts w:asciiTheme="majorBidi" w:hAnsiTheme="majorBidi" w:cstheme="majorBidi"/>
                <w:sz w:val="24"/>
                <w:szCs w:val="24"/>
              </w:rPr>
              <w:t>Cèdre, sapin, arbousier</w:t>
            </w:r>
          </w:p>
        </w:tc>
      </w:tr>
    </w:tbl>
    <w:p w:rsidR="000660E1" w:rsidRPr="00C7347D" w:rsidRDefault="000660E1" w:rsidP="000660E1">
      <w:pPr>
        <w:pStyle w:val="Paragraphedeliste"/>
        <w:tabs>
          <w:tab w:val="left" w:pos="567"/>
        </w:tabs>
        <w:autoSpaceDE w:val="0"/>
        <w:autoSpaceDN w:val="0"/>
        <w:adjustRightInd w:val="0"/>
        <w:rPr>
          <w:rFonts w:asciiTheme="majorBidi" w:hAnsiTheme="majorBidi" w:cstheme="majorBidi"/>
          <w:sz w:val="24"/>
          <w:szCs w:val="24"/>
        </w:rPr>
      </w:pPr>
      <w:proofErr w:type="gramStart"/>
      <w:r w:rsidRPr="00C7347D">
        <w:rPr>
          <w:rFonts w:asciiTheme="majorBidi" w:hAnsiTheme="majorBidi" w:cstheme="majorBidi"/>
          <w:sz w:val="24"/>
          <w:szCs w:val="24"/>
        </w:rPr>
        <w:t>( Détry</w:t>
      </w:r>
      <w:proofErr w:type="gramEnd"/>
      <w:r w:rsidRPr="00C7347D">
        <w:rPr>
          <w:rFonts w:asciiTheme="majorBidi" w:hAnsiTheme="majorBidi" w:cstheme="majorBidi"/>
          <w:sz w:val="24"/>
          <w:szCs w:val="24"/>
        </w:rPr>
        <w:t>-Fouque, 2006)</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Tableau 3: Note de combustibilité des espèces forestières méditerranéennes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noProof/>
          <w:sz w:val="24"/>
          <w:szCs w:val="24"/>
        </w:rPr>
        <w:drawing>
          <wp:inline distT="0" distB="0" distL="0" distR="0">
            <wp:extent cx="5760720" cy="5715818"/>
            <wp:effectExtent l="19050" t="0" r="0" b="0"/>
            <wp:docPr id="24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5715818"/>
                    </a:xfrm>
                    <a:prstGeom prst="rect">
                      <a:avLst/>
                    </a:prstGeom>
                    <a:noFill/>
                    <a:ln w="9525">
                      <a:noFill/>
                      <a:miter lim="800000"/>
                      <a:headEnd/>
                      <a:tailEnd/>
                    </a:ln>
                  </pic:spPr>
                </pic:pic>
              </a:graphicData>
            </a:graphic>
          </wp:inline>
        </w:drawing>
      </w:r>
    </w:p>
    <w:p w:rsidR="000660E1" w:rsidRPr="00C7347D" w:rsidRDefault="000660E1" w:rsidP="000660E1">
      <w:pPr>
        <w:tabs>
          <w:tab w:val="left" w:pos="567"/>
        </w:tabs>
        <w:autoSpaceDE w:val="0"/>
        <w:autoSpaceDN w:val="0"/>
        <w:adjustRightInd w:val="0"/>
        <w:spacing w:after="0"/>
        <w:jc w:val="right"/>
        <w:rPr>
          <w:rFonts w:asciiTheme="majorBidi" w:hAnsiTheme="majorBidi" w:cstheme="majorBidi"/>
          <w:sz w:val="24"/>
          <w:szCs w:val="24"/>
        </w:rPr>
      </w:pPr>
      <w:proofErr w:type="gramStart"/>
      <w:r w:rsidRPr="00C7347D">
        <w:rPr>
          <w:rFonts w:asciiTheme="majorBidi" w:hAnsiTheme="majorBidi" w:cstheme="majorBidi"/>
          <w:sz w:val="24"/>
          <w:szCs w:val="24"/>
        </w:rPr>
        <w:t>( CEMAGREF</w:t>
      </w:r>
      <w:proofErr w:type="gramEnd"/>
      <w:r w:rsidRPr="00C7347D">
        <w:rPr>
          <w:rFonts w:asciiTheme="majorBidi" w:hAnsiTheme="majorBidi" w:cstheme="majorBidi"/>
          <w:sz w:val="24"/>
          <w:szCs w:val="24"/>
        </w:rPr>
        <w:t>, 1989)</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b/>
          <w:bCs/>
          <w:sz w:val="24"/>
          <w:szCs w:val="24"/>
        </w:rPr>
        <w:t>Classification (CEMAGREF</w:t>
      </w:r>
      <w:r w:rsidRPr="00C7347D">
        <w:rPr>
          <w:rFonts w:asciiTheme="majorBidi" w:hAnsiTheme="majorBidi" w:cstheme="majorBidi"/>
          <w:sz w:val="24"/>
          <w:szCs w:val="24"/>
        </w:rPr>
        <w:t xml:space="preserv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3 : Facilement combustible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4 : Moyennement combustible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5 : Difficilement combustible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5 (200 °C) : Difficilement combustible à 200 °C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6 Q : Quasi incombustible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6 : incombustible</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r w:rsidRPr="00C7347D">
        <w:rPr>
          <w:rFonts w:asciiTheme="majorBidi" w:hAnsiTheme="majorBidi" w:cstheme="majorBidi"/>
          <w:b/>
          <w:bCs/>
          <w:sz w:val="24"/>
          <w:szCs w:val="24"/>
        </w:rPr>
        <w:t>f- en fonction de la structure de la végétation</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En fonction de la distribution verticale de la matière végétale, on distingue quatre strates, ayant chacune des caractéristiques propres de combustion.</w:t>
      </w:r>
    </w:p>
    <w:p w:rsidR="000660E1" w:rsidRPr="00C7347D" w:rsidRDefault="000660E1" w:rsidP="000660E1">
      <w:pPr>
        <w:pStyle w:val="Paragraphedeliste"/>
        <w:numPr>
          <w:ilvl w:val="0"/>
          <w:numId w:val="9"/>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litière : très inflammable, elle est à l'origine d'un grand nombre de départs de feux, difficiles à détecter, car se consumant lentement.</w:t>
      </w:r>
    </w:p>
    <w:p w:rsidR="000660E1" w:rsidRPr="00C7347D" w:rsidRDefault="000660E1" w:rsidP="000660E1">
      <w:pPr>
        <w:pStyle w:val="Paragraphedeliste"/>
        <w:numPr>
          <w:ilvl w:val="0"/>
          <w:numId w:val="9"/>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strate herbacée : d'une grande inflammabilité, le vent peut y propager le feu sur de grandes superficies.</w:t>
      </w:r>
    </w:p>
    <w:p w:rsidR="000660E1" w:rsidRPr="00C7347D" w:rsidRDefault="000660E1" w:rsidP="000660E1">
      <w:pPr>
        <w:pStyle w:val="Paragraphedeliste"/>
        <w:numPr>
          <w:ilvl w:val="0"/>
          <w:numId w:val="9"/>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strate des ligneux bas (maquis, garrigue) : d'inflammabilité moyenne, elle transmet rapidement le feu aux strates supérieures.</w:t>
      </w:r>
    </w:p>
    <w:p w:rsidR="000660E1" w:rsidRPr="00C7347D" w:rsidRDefault="000660E1" w:rsidP="000660E1">
      <w:pPr>
        <w:pStyle w:val="Paragraphedeliste"/>
        <w:numPr>
          <w:ilvl w:val="0"/>
          <w:numId w:val="9"/>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La strate des ligneux hauts : rarement à l'origine d'un feu, elle permet cependant la propagation des flammes lorsqu'elle est atteinte ; ce sont les feux de cimes.</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r w:rsidRPr="00C7347D">
        <w:rPr>
          <w:rFonts w:asciiTheme="majorBidi" w:hAnsiTheme="majorBidi" w:cstheme="majorBidi"/>
          <w:b/>
          <w:bCs/>
          <w:sz w:val="24"/>
          <w:szCs w:val="24"/>
        </w:rPr>
        <w:t>g-en  fonction de la micro structure de la végétation</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Il s’agit de l’agencement dans l’espace des organes végétaux les plus fins (feuilles, aiguilles, rameaux). L’intensité du feu dépend également de cette microstructure. Plus un combustible est finement divisé, meilleur est le contact avec le comburant, et donc plus la combustion est facilitée. Ainsi :</w:t>
      </w:r>
    </w:p>
    <w:p w:rsidR="000660E1" w:rsidRPr="00C7347D" w:rsidRDefault="000660E1" w:rsidP="000660E1">
      <w:pPr>
        <w:pStyle w:val="Paragraphedeliste"/>
        <w:numPr>
          <w:ilvl w:val="0"/>
          <w:numId w:val="10"/>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Des aiguilles tombées au sol récemment forment un tapis aéré, facilitant le contact entre l’air et la matière végétale et donc la combustion.</w:t>
      </w:r>
    </w:p>
    <w:p w:rsidR="000660E1" w:rsidRPr="00C7347D" w:rsidRDefault="000660E1" w:rsidP="000660E1">
      <w:pPr>
        <w:pStyle w:val="Paragraphedeliste"/>
        <w:numPr>
          <w:ilvl w:val="0"/>
          <w:numId w:val="10"/>
        </w:numPr>
        <w:tabs>
          <w:tab w:val="left" w:pos="567"/>
        </w:tabs>
        <w:autoSpaceDE w:val="0"/>
        <w:autoSpaceDN w:val="0"/>
        <w:adjustRightInd w:val="0"/>
        <w:spacing w:line="276" w:lineRule="auto"/>
        <w:jc w:val="both"/>
        <w:rPr>
          <w:rFonts w:asciiTheme="majorBidi" w:hAnsiTheme="majorBidi" w:cstheme="majorBidi"/>
          <w:sz w:val="24"/>
          <w:szCs w:val="24"/>
        </w:rPr>
      </w:pPr>
      <w:r w:rsidRPr="00C7347D">
        <w:rPr>
          <w:rFonts w:asciiTheme="majorBidi" w:hAnsiTheme="majorBidi" w:cstheme="majorBidi"/>
          <w:sz w:val="24"/>
          <w:szCs w:val="24"/>
        </w:rPr>
        <w:t>En revanche, un tapis d’aiguilles au sol depuis longtemps, tassées sous l’effet du vieillissement et des intempéries, forme une couche beaucoup plus compacte, rendant la combustion plus difficile.</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r w:rsidRPr="00C7347D">
        <w:rPr>
          <w:rFonts w:asciiTheme="majorBidi" w:hAnsiTheme="majorBidi" w:cstheme="majorBidi"/>
          <w:b/>
          <w:bCs/>
          <w:sz w:val="24"/>
          <w:szCs w:val="24"/>
        </w:rPr>
        <w:t>1.2-  Les facteurs topographiques</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 Les facteurs topographiques jouent un rôle important en favorisant suivant les situations la progression du feu ou son ralentissement,  trois paramètres agissent sur les incendies de forêt :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pStyle w:val="Paragraphedeliste"/>
        <w:numPr>
          <w:ilvl w:val="0"/>
          <w:numId w:val="2"/>
        </w:numPr>
        <w:tabs>
          <w:tab w:val="left" w:pos="567"/>
        </w:tabs>
        <w:autoSpaceDE w:val="0"/>
        <w:autoSpaceDN w:val="0"/>
        <w:adjustRightInd w:val="0"/>
        <w:spacing w:line="276" w:lineRule="auto"/>
        <w:ind w:left="851"/>
        <w:jc w:val="both"/>
        <w:rPr>
          <w:rFonts w:asciiTheme="majorBidi" w:hAnsiTheme="majorBidi" w:cstheme="majorBidi"/>
          <w:sz w:val="24"/>
          <w:szCs w:val="24"/>
        </w:rPr>
      </w:pPr>
      <w:r w:rsidRPr="00C7347D">
        <w:rPr>
          <w:rFonts w:asciiTheme="majorBidi" w:hAnsiTheme="majorBidi" w:cstheme="majorBidi"/>
          <w:sz w:val="24"/>
          <w:szCs w:val="24"/>
        </w:rPr>
        <w:t>L’inclinaison des pentes</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Le pourcentage de la pente influence directement le comportement des incendies de forêt, puisqu’il amplifie l’effet de radiation et de convection.</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La vitesse de propagation du feu s'en trouve accrut. Des études expérimentales sur le comportement du feu ont montré que la vitesse de propagation double sur une pente de 10 à 15 % et quadruple sur une pente de 20 %.</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pStyle w:val="Paragraphedeliste"/>
        <w:numPr>
          <w:ilvl w:val="0"/>
          <w:numId w:val="2"/>
        </w:numPr>
        <w:tabs>
          <w:tab w:val="left" w:pos="567"/>
        </w:tabs>
        <w:autoSpaceDE w:val="0"/>
        <w:autoSpaceDN w:val="0"/>
        <w:adjustRightInd w:val="0"/>
        <w:spacing w:line="276" w:lineRule="auto"/>
        <w:ind w:left="851" w:hanging="284"/>
        <w:jc w:val="both"/>
        <w:rPr>
          <w:rFonts w:asciiTheme="majorBidi" w:hAnsiTheme="majorBidi" w:cstheme="majorBidi"/>
          <w:sz w:val="24"/>
          <w:szCs w:val="24"/>
        </w:rPr>
      </w:pPr>
      <w:r w:rsidRPr="00C7347D">
        <w:rPr>
          <w:rFonts w:asciiTheme="majorBidi" w:hAnsiTheme="majorBidi" w:cstheme="majorBidi"/>
          <w:sz w:val="24"/>
          <w:szCs w:val="24"/>
        </w:rPr>
        <w:t>L’exposition de la pente</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L’exposition de la pente affecte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La quantité de chaleur recueillie par les combustibles en fonction de l’insolation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Les vents locaux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lastRenderedPageBreak/>
        <w:t xml:space="preserve">       -  La quantité et le type de combustible.</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Elle individualise également des zones exposées au vent. En général, les versants sud et sud – ouest présentent les conditions les plus favorables pour une inflammation rapide et pour la propagation des feux (figure 8).</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Pr>
          <w:rFonts w:asciiTheme="majorBidi" w:hAnsiTheme="majorBidi" w:cstheme="majorBidi"/>
          <w:noProof/>
          <w:sz w:val="24"/>
          <w:szCs w:val="24"/>
        </w:rPr>
        <w:pict>
          <v:oval id="_x0000_s1026" style="position:absolute;left:0;text-align:left;margin-left:375.3pt;margin-top:23.35pt;width:24.75pt;height:23.25pt;z-index:251658240">
            <v:textbox style="mso-next-textbox:#_x0000_s1026">
              <w:txbxContent>
                <w:p w:rsidR="000660E1" w:rsidRPr="00E07207" w:rsidRDefault="000660E1" w:rsidP="000660E1">
                  <w:pPr>
                    <w:rPr>
                      <w:b/>
                      <w:bCs/>
                    </w:rPr>
                  </w:pPr>
                  <w:r>
                    <w:t>O</w:t>
                  </w:r>
                </w:p>
              </w:txbxContent>
            </v:textbox>
          </v:oval>
        </w:pict>
      </w:r>
      <w:r>
        <w:rPr>
          <w:rFonts w:asciiTheme="majorBidi" w:hAnsiTheme="majorBidi" w:cstheme="majorBidi"/>
          <w:noProof/>
          <w:sz w:val="24"/>
          <w:szCs w:val="24"/>
        </w:rPr>
        <w:pict>
          <v:oval id="_x0000_s1027" style="position:absolute;left:0;text-align:left;margin-left:287.55pt;margin-top:125.35pt;width:22.5pt;height:21pt;z-index:251658240">
            <v:textbox style="mso-next-textbox:#_x0000_s1027">
              <w:txbxContent>
                <w:p w:rsidR="000660E1" w:rsidRPr="00E07207" w:rsidRDefault="000660E1" w:rsidP="000660E1">
                  <w:pPr>
                    <w:jc w:val="center"/>
                    <w:rPr>
                      <w:b/>
                      <w:bCs/>
                    </w:rPr>
                  </w:pPr>
                  <w:r>
                    <w:t>N</w:t>
                  </w:r>
                </w:p>
              </w:txbxContent>
            </v:textbox>
          </v:oval>
        </w:pict>
      </w:r>
      <w:r>
        <w:rPr>
          <w:rFonts w:asciiTheme="majorBidi" w:hAnsiTheme="majorBidi" w:cstheme="majorBidi"/>
          <w:noProof/>
          <w:sz w:val="24"/>
          <w:szCs w:val="24"/>
        </w:rPr>
        <w:pict>
          <v:oval id="_x0000_s1028" style="position:absolute;left:0;text-align:left;margin-left:253.8pt;margin-top:33.1pt;width:22.5pt;height:25.5pt;z-index:251658240">
            <v:textbox style="mso-next-textbox:#_x0000_s1028">
              <w:txbxContent>
                <w:p w:rsidR="000660E1" w:rsidRPr="00E07207" w:rsidRDefault="000660E1" w:rsidP="000660E1">
                  <w:pPr>
                    <w:rPr>
                      <w:b/>
                      <w:bCs/>
                    </w:rPr>
                  </w:pPr>
                  <w:r w:rsidRPr="00E07207">
                    <w:rPr>
                      <w:b/>
                      <w:bCs/>
                    </w:rPr>
                    <w:t>S</w:t>
                  </w:r>
                </w:p>
              </w:txbxContent>
            </v:textbox>
          </v:oval>
        </w:pict>
      </w:r>
      <w:r>
        <w:rPr>
          <w:rFonts w:asciiTheme="majorBidi" w:hAnsiTheme="majorBidi" w:cstheme="majorBidi"/>
          <w:noProof/>
          <w:sz w:val="24"/>
          <w:szCs w:val="24"/>
        </w:rPr>
        <w:pict>
          <v:oval id="_x0000_s1029" style="position:absolute;left:0;text-align:left;margin-left:137.55pt;margin-top:81.85pt;width:24.75pt;height:24.75pt;z-index:251658240">
            <v:textbox style="mso-next-textbox:#_x0000_s1029">
              <w:txbxContent>
                <w:p w:rsidR="000660E1" w:rsidRPr="00E07207" w:rsidRDefault="000660E1" w:rsidP="000660E1">
                  <w:pPr>
                    <w:rPr>
                      <w:b/>
                      <w:bCs/>
                    </w:rPr>
                  </w:pPr>
                  <w:r w:rsidRPr="00E07207">
                    <w:rPr>
                      <w:b/>
                      <w:bCs/>
                    </w:rPr>
                    <w:t>E</w:t>
                  </w:r>
                </w:p>
              </w:txbxContent>
            </v:textbox>
          </v:oval>
        </w:pict>
      </w:r>
      <w:r w:rsidRPr="00C7347D">
        <w:rPr>
          <w:rFonts w:asciiTheme="majorBidi" w:hAnsiTheme="majorBidi" w:cstheme="majorBidi"/>
          <w:noProof/>
          <w:sz w:val="24"/>
          <w:szCs w:val="24"/>
        </w:rPr>
        <w:drawing>
          <wp:inline distT="0" distB="0" distL="0" distR="0">
            <wp:extent cx="6120765" cy="3502047"/>
            <wp:effectExtent l="19050" t="0" r="0" b="0"/>
            <wp:docPr id="2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20765" cy="3502047"/>
                    </a:xfrm>
                    <a:prstGeom prst="rect">
                      <a:avLst/>
                    </a:prstGeom>
                    <a:noFill/>
                    <a:ln w="9525">
                      <a:noFill/>
                      <a:miter lim="800000"/>
                      <a:headEnd/>
                      <a:tailEnd/>
                    </a:ln>
                  </pic:spPr>
                </pic:pic>
              </a:graphicData>
            </a:graphic>
          </wp:inline>
        </w:drawing>
      </w:r>
    </w:p>
    <w:p w:rsidR="000660E1" w:rsidRPr="00C7347D" w:rsidRDefault="000660E1" w:rsidP="000660E1">
      <w:pPr>
        <w:tabs>
          <w:tab w:val="left" w:pos="567"/>
        </w:tabs>
        <w:autoSpaceDE w:val="0"/>
        <w:autoSpaceDN w:val="0"/>
        <w:adjustRightInd w:val="0"/>
        <w:spacing w:after="0"/>
        <w:ind w:firstLine="284"/>
        <w:jc w:val="center"/>
        <w:rPr>
          <w:rFonts w:asciiTheme="majorBidi" w:hAnsiTheme="majorBidi" w:cstheme="majorBidi"/>
          <w:sz w:val="24"/>
          <w:szCs w:val="24"/>
        </w:rPr>
      </w:pPr>
      <w:r w:rsidRPr="00C7347D">
        <w:rPr>
          <w:rFonts w:asciiTheme="majorBidi" w:hAnsiTheme="majorBidi" w:cstheme="majorBidi"/>
          <w:sz w:val="24"/>
          <w:szCs w:val="24"/>
        </w:rPr>
        <w:t>Figure 8 : Courbe des températures en fonction de l’exposition des pentes (Arfa</w:t>
      </w:r>
      <w:proofErr w:type="gramStart"/>
      <w:r w:rsidRPr="00C7347D">
        <w:rPr>
          <w:rFonts w:asciiTheme="majorBidi" w:hAnsiTheme="majorBidi" w:cstheme="majorBidi"/>
          <w:sz w:val="24"/>
          <w:szCs w:val="24"/>
        </w:rPr>
        <w:t>,2008</w:t>
      </w:r>
      <w:proofErr w:type="gramEnd"/>
      <w:r w:rsidRPr="00C7347D">
        <w:rPr>
          <w:rFonts w:asciiTheme="majorBidi" w:hAnsiTheme="majorBidi" w:cstheme="majorBidi"/>
          <w:sz w:val="24"/>
          <w:szCs w:val="24"/>
        </w:rPr>
        <w:t>)</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b/>
          <w:bCs/>
          <w:sz w:val="24"/>
          <w:szCs w:val="24"/>
        </w:rPr>
      </w:pPr>
    </w:p>
    <w:p w:rsidR="000660E1" w:rsidRPr="00C7347D" w:rsidRDefault="000660E1" w:rsidP="000660E1">
      <w:pPr>
        <w:pStyle w:val="Paragraphedeliste"/>
        <w:numPr>
          <w:ilvl w:val="0"/>
          <w:numId w:val="2"/>
        </w:numPr>
        <w:tabs>
          <w:tab w:val="left" w:pos="567"/>
        </w:tabs>
        <w:autoSpaceDE w:val="0"/>
        <w:autoSpaceDN w:val="0"/>
        <w:adjustRightInd w:val="0"/>
        <w:spacing w:line="276" w:lineRule="auto"/>
        <w:ind w:left="851" w:hanging="283"/>
        <w:jc w:val="both"/>
        <w:rPr>
          <w:rFonts w:asciiTheme="majorBidi" w:hAnsiTheme="majorBidi" w:cstheme="majorBidi"/>
          <w:sz w:val="24"/>
          <w:szCs w:val="24"/>
        </w:rPr>
      </w:pPr>
      <w:r w:rsidRPr="00C7347D">
        <w:rPr>
          <w:rFonts w:asciiTheme="majorBidi" w:hAnsiTheme="majorBidi" w:cstheme="majorBidi"/>
          <w:sz w:val="24"/>
          <w:szCs w:val="24"/>
        </w:rPr>
        <w:t>L’élévation du terrain</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L’élévation du terrain au dessus du niveau de la mer affecte le comportement des incendies de forêt en modifiant la météo et la végétation :</w:t>
      </w:r>
    </w:p>
    <w:p w:rsidR="000660E1" w:rsidRPr="00C7347D" w:rsidRDefault="000660E1" w:rsidP="000660E1">
      <w:pPr>
        <w:pStyle w:val="Paragraphedeliste"/>
        <w:numPr>
          <w:ilvl w:val="0"/>
          <w:numId w:val="3"/>
        </w:numPr>
        <w:tabs>
          <w:tab w:val="left" w:pos="567"/>
        </w:tabs>
        <w:autoSpaceDE w:val="0"/>
        <w:autoSpaceDN w:val="0"/>
        <w:adjustRightInd w:val="0"/>
        <w:spacing w:line="276" w:lineRule="auto"/>
        <w:ind w:left="1134"/>
        <w:jc w:val="both"/>
        <w:rPr>
          <w:rFonts w:asciiTheme="majorBidi" w:hAnsiTheme="majorBidi" w:cstheme="majorBidi"/>
          <w:sz w:val="24"/>
          <w:szCs w:val="24"/>
        </w:rPr>
      </w:pPr>
      <w:r w:rsidRPr="00C7347D">
        <w:rPr>
          <w:rFonts w:asciiTheme="majorBidi" w:hAnsiTheme="majorBidi" w:cstheme="majorBidi"/>
          <w:sz w:val="24"/>
          <w:szCs w:val="24"/>
        </w:rPr>
        <w:t>Modification de la météorologie avec l’altitude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La température baisse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L’Humidité relative augmente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La vitesse du vent augmente.</w:t>
      </w:r>
    </w:p>
    <w:p w:rsidR="000660E1" w:rsidRPr="00C7347D" w:rsidRDefault="000660E1" w:rsidP="000660E1">
      <w:pPr>
        <w:pStyle w:val="Paragraphedeliste"/>
        <w:numPr>
          <w:ilvl w:val="0"/>
          <w:numId w:val="3"/>
        </w:numPr>
        <w:tabs>
          <w:tab w:val="left" w:pos="567"/>
        </w:tabs>
        <w:autoSpaceDE w:val="0"/>
        <w:autoSpaceDN w:val="0"/>
        <w:adjustRightInd w:val="0"/>
        <w:spacing w:line="276" w:lineRule="auto"/>
        <w:ind w:left="1134"/>
        <w:jc w:val="both"/>
        <w:rPr>
          <w:rFonts w:asciiTheme="majorBidi" w:hAnsiTheme="majorBidi" w:cstheme="majorBidi"/>
          <w:sz w:val="24"/>
          <w:szCs w:val="24"/>
        </w:rPr>
      </w:pPr>
      <w:r w:rsidRPr="00C7347D">
        <w:rPr>
          <w:rFonts w:asciiTheme="majorBidi" w:hAnsiTheme="majorBidi" w:cstheme="majorBidi"/>
          <w:sz w:val="24"/>
          <w:szCs w:val="24"/>
        </w:rPr>
        <w:t>Modification de la végétation avec l’altitude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Le type de végétation ;</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 xml:space="preserve">  -  Le taux d’humidité.</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r w:rsidRPr="00C7347D">
        <w:rPr>
          <w:rFonts w:asciiTheme="majorBidi" w:hAnsiTheme="majorBidi" w:cstheme="majorBidi"/>
          <w:sz w:val="24"/>
          <w:szCs w:val="24"/>
        </w:rPr>
        <w:tab/>
        <w:t xml:space="preserve">Un feu ascendant brûle d'autant plus rapidement que la pente est forte, car l'efficacité des transferts thermiques par rayonnement et convection est accrue, contrairement à un feu descendant dont sa vitesse est considérablement ralentie, mais leur risque qu'il saute d'une pente à l'autre est très important : on parle alors de " saute de feu " </w:t>
      </w:r>
    </w:p>
    <w:p w:rsidR="000660E1" w:rsidRPr="00C7347D" w:rsidRDefault="000660E1" w:rsidP="000660E1">
      <w:pPr>
        <w:tabs>
          <w:tab w:val="left" w:pos="567"/>
        </w:tabs>
        <w:autoSpaceDE w:val="0"/>
        <w:autoSpaceDN w:val="0"/>
        <w:adjustRightInd w:val="0"/>
        <w:spacing w:after="0"/>
        <w:ind w:firstLine="284"/>
        <w:jc w:val="both"/>
        <w:rPr>
          <w:rFonts w:asciiTheme="majorBidi" w:hAnsiTheme="majorBidi" w:cstheme="majorBidi"/>
          <w:sz w:val="24"/>
          <w:szCs w:val="24"/>
        </w:rPr>
      </w:pP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ab/>
        <w:t xml:space="preserve">La pente conditionne l'inclinaison des flammes par rapport au sol et ainsi leur vitesse de propagation. L'exposition a également un rôle indirect sur la progression du feu, car elle conditionne le type de végétation, l'influence des vents et l'ensoleillement. Généralement, les versants sud et sud-ouest présentent les conditions les plus favorables pour une inflammation rapide et pour la propagation des flammes. </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ab/>
        <w:t xml:space="preserve">La qualité de chaleur transmise est liée au relief. En amont du relief, les combustibles reçoivent plus de chaleur parce qu'ils sont sur le trajet de l'air chaud  ascendant,    en chauffant l'air, le feu provoque  un mouvement de convection "ascendant "c'est créer son propre vent". Inversement, cette convection  ralentit la propagation d'un feu descendant. </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ab/>
        <w:t>Les crêtes sont des zones de fortes accélérations du vent, les détroits sont des zones de passage privilégiées du feu. Les ravins   représentent des secteurs de passage pour le feu.</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ab/>
        <w:t xml:space="preserve"> Il faut noter que la topographie, contrairement aux  autres agents, est un facteur constant dont il est possible de déterminer ou de prévoir son influence (tableau 4).</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Tableau 4 : Influence de la topographie sur le comportement du feu</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p>
    <w:tbl>
      <w:tblPr>
        <w:tblStyle w:val="Grilledutableau"/>
        <w:tblW w:w="0" w:type="auto"/>
        <w:tblLook w:val="04A0"/>
      </w:tblPr>
      <w:tblGrid>
        <w:gridCol w:w="1790"/>
        <w:gridCol w:w="3364"/>
        <w:gridCol w:w="3368"/>
      </w:tblGrid>
      <w:tr w:rsidR="000660E1" w:rsidRPr="00C7347D" w:rsidTr="00DE0EA2">
        <w:tc>
          <w:tcPr>
            <w:tcW w:w="1809"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Facteurs topographiques</w:t>
            </w:r>
          </w:p>
        </w:tc>
        <w:tc>
          <w:tcPr>
            <w:tcW w:w="3686"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Influence favorable</w:t>
            </w:r>
          </w:p>
        </w:tc>
        <w:tc>
          <w:tcPr>
            <w:tcW w:w="3717"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Influence défavorable</w:t>
            </w:r>
          </w:p>
        </w:tc>
      </w:tr>
      <w:tr w:rsidR="000660E1" w:rsidRPr="00C7347D" w:rsidTr="00DE0EA2">
        <w:tc>
          <w:tcPr>
            <w:tcW w:w="1809"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Inclinaison des pentes/au soleil</w:t>
            </w:r>
          </w:p>
        </w:tc>
        <w:tc>
          <w:tcPr>
            <w:tcW w:w="3686"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Rapprochement de la colonne de convection de la surface du sol en pente ascendante accélère la propagation de l'incendie</w:t>
            </w:r>
          </w:p>
        </w:tc>
        <w:tc>
          <w:tcPr>
            <w:tcW w:w="3717"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Eloignement de la colonne de convection de la surface du sol en pente descendante ralentie  la propagation de l'incendie</w:t>
            </w:r>
          </w:p>
        </w:tc>
      </w:tr>
      <w:tr w:rsidR="000660E1" w:rsidRPr="00C7347D" w:rsidTr="00DE0EA2">
        <w:tc>
          <w:tcPr>
            <w:tcW w:w="1809"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Exposition des pentes/au soleil</w:t>
            </w:r>
          </w:p>
        </w:tc>
        <w:tc>
          <w:tcPr>
            <w:tcW w:w="3686"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Desséchement plus rapide des combustibles sur les pentes exposés au Sud, au Sud-ouest et à l'Ouest</w:t>
            </w:r>
          </w:p>
        </w:tc>
        <w:tc>
          <w:tcPr>
            <w:tcW w:w="3717"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Desséchement plus  lent des combustibles sur les pentes exposés au Nord, au Nord-est et l'Est</w:t>
            </w:r>
          </w:p>
        </w:tc>
      </w:tr>
      <w:tr w:rsidR="000660E1" w:rsidRPr="00C7347D" w:rsidTr="00DE0EA2">
        <w:tc>
          <w:tcPr>
            <w:tcW w:w="1809"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Altitude du terrain</w:t>
            </w:r>
          </w:p>
        </w:tc>
        <w:tc>
          <w:tcPr>
            <w:tcW w:w="3686"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Combustibles plus secs en terrain élevé, car les vents sont plus intenses et le sol plus sec qu'en basse terre</w:t>
            </w:r>
          </w:p>
        </w:tc>
        <w:tc>
          <w:tcPr>
            <w:tcW w:w="3717" w:type="dxa"/>
          </w:tcPr>
          <w:p w:rsidR="000660E1" w:rsidRPr="00C7347D" w:rsidRDefault="000660E1" w:rsidP="00DE0EA2">
            <w:pPr>
              <w:pStyle w:val="Default"/>
              <w:tabs>
                <w:tab w:val="left" w:pos="567"/>
              </w:tabs>
              <w:spacing w:line="276" w:lineRule="auto"/>
              <w:jc w:val="both"/>
              <w:rPr>
                <w:rFonts w:asciiTheme="majorBidi" w:hAnsiTheme="majorBidi" w:cstheme="majorBidi"/>
                <w:color w:val="auto"/>
              </w:rPr>
            </w:pPr>
            <w:r w:rsidRPr="00C7347D">
              <w:rPr>
                <w:rFonts w:asciiTheme="majorBidi" w:hAnsiTheme="majorBidi" w:cstheme="majorBidi"/>
                <w:color w:val="auto"/>
              </w:rPr>
              <w:t>Combustibles plus humides en terrain élevé, car les vents sont moins  intenses et le sol plus humide qu'en basse terre</w:t>
            </w:r>
          </w:p>
        </w:tc>
      </w:tr>
    </w:tbl>
    <w:p w:rsidR="000660E1" w:rsidRPr="00C7347D" w:rsidRDefault="000660E1" w:rsidP="000660E1">
      <w:pPr>
        <w:pStyle w:val="Default"/>
        <w:tabs>
          <w:tab w:val="left" w:pos="567"/>
        </w:tabs>
        <w:spacing w:line="276" w:lineRule="auto"/>
        <w:jc w:val="right"/>
        <w:rPr>
          <w:rFonts w:asciiTheme="majorBidi" w:hAnsiTheme="majorBidi" w:cstheme="majorBidi"/>
          <w:color w:val="auto"/>
        </w:rPr>
      </w:pPr>
      <w:r w:rsidRPr="00C7347D">
        <w:rPr>
          <w:rFonts w:asciiTheme="majorBidi" w:hAnsiTheme="majorBidi" w:cstheme="majorBidi"/>
          <w:color w:val="auto"/>
        </w:rPr>
        <w:t>(Robitaille, 1996)</w:t>
      </w: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p>
    <w:p w:rsidR="000660E1" w:rsidRPr="00C7347D" w:rsidRDefault="000660E1" w:rsidP="000660E1">
      <w:pPr>
        <w:pStyle w:val="Default"/>
        <w:tabs>
          <w:tab w:val="left" w:pos="567"/>
        </w:tabs>
        <w:spacing w:line="276" w:lineRule="auto"/>
        <w:jc w:val="both"/>
        <w:rPr>
          <w:rFonts w:asciiTheme="majorBidi" w:hAnsiTheme="majorBidi" w:cstheme="majorBidi"/>
          <w:color w:val="auto"/>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r w:rsidRPr="00C7347D">
        <w:rPr>
          <w:rFonts w:asciiTheme="majorBidi" w:hAnsiTheme="majorBidi" w:cstheme="majorBidi"/>
          <w:b/>
          <w:bCs/>
          <w:sz w:val="24"/>
          <w:szCs w:val="24"/>
        </w:rPr>
        <w:t>1.3-  Les facteurs  édaphiques</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b/>
          <w:bCs/>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Les conditions édaphiques sont essentielles, car la texture des sols, leur structure, la qualité de leur complexe argilo humique, conditionnent leur aptitude à conserver une réserve hydrique plus ou moins importante, et donc à rendre une espèce végétale moins inflammable alors que la sécheresse climatique sévit</w:t>
      </w: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p>
    <w:p w:rsidR="000660E1" w:rsidRPr="00C7347D" w:rsidRDefault="000660E1" w:rsidP="000660E1">
      <w:pPr>
        <w:tabs>
          <w:tab w:val="left" w:pos="567"/>
        </w:tabs>
        <w:autoSpaceDE w:val="0"/>
        <w:autoSpaceDN w:val="0"/>
        <w:adjustRightInd w:val="0"/>
        <w:spacing w:after="0"/>
        <w:jc w:val="both"/>
        <w:rPr>
          <w:rFonts w:asciiTheme="majorBidi" w:hAnsiTheme="majorBidi" w:cstheme="majorBidi"/>
          <w:sz w:val="24"/>
          <w:szCs w:val="24"/>
        </w:rPr>
      </w:pPr>
      <w:r w:rsidRPr="00C7347D">
        <w:rPr>
          <w:rFonts w:asciiTheme="majorBidi" w:hAnsiTheme="majorBidi" w:cstheme="majorBidi"/>
          <w:sz w:val="24"/>
          <w:szCs w:val="24"/>
        </w:rPr>
        <w:tab/>
        <w:t xml:space="preserve"> La sécheresse de l'air influe sur la sécheresse du sol qui à son tour agit sur la dessiccation du végétal et augmente son risque de prendre feu </w:t>
      </w:r>
    </w:p>
    <w:p w:rsidR="00CF433C" w:rsidRDefault="00CF433C"/>
    <w:sectPr w:rsidR="00CF43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3DDF"/>
    <w:multiLevelType w:val="hybridMultilevel"/>
    <w:tmpl w:val="8DE4EB62"/>
    <w:lvl w:ilvl="0" w:tplc="C96814BA">
      <w:start w:val="2"/>
      <w:numFmt w:val="bullet"/>
      <w:lvlText w:val="-"/>
      <w:lvlJc w:val="left"/>
      <w:pPr>
        <w:ind w:left="1440" w:hanging="360"/>
      </w:pPr>
      <w:rPr>
        <w:rFonts w:ascii="Calibri" w:eastAsiaTheme="minorEastAsia"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2254B94"/>
    <w:multiLevelType w:val="hybridMultilevel"/>
    <w:tmpl w:val="5E6A692C"/>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2">
    <w:nsid w:val="4E3B6AD3"/>
    <w:multiLevelType w:val="hybridMultilevel"/>
    <w:tmpl w:val="CD3AC662"/>
    <w:lvl w:ilvl="0" w:tplc="C96814BA">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4518B2"/>
    <w:multiLevelType w:val="hybridMultilevel"/>
    <w:tmpl w:val="08585CBC"/>
    <w:lvl w:ilvl="0" w:tplc="C96814BA">
      <w:start w:val="2"/>
      <w:numFmt w:val="bullet"/>
      <w:lvlText w:val="-"/>
      <w:lvlJc w:val="left"/>
      <w:pPr>
        <w:ind w:left="1800" w:hanging="360"/>
      </w:pPr>
      <w:rPr>
        <w:rFonts w:ascii="Calibri" w:eastAsiaTheme="minorEastAsia"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57202288"/>
    <w:multiLevelType w:val="hybridMultilevel"/>
    <w:tmpl w:val="EB00FE28"/>
    <w:lvl w:ilvl="0" w:tplc="C96814BA">
      <w:start w:val="2"/>
      <w:numFmt w:val="bullet"/>
      <w:lvlText w:val="-"/>
      <w:lvlJc w:val="left"/>
      <w:pPr>
        <w:ind w:left="761" w:hanging="360"/>
      </w:pPr>
      <w:rPr>
        <w:rFonts w:ascii="Calibri" w:eastAsiaTheme="minorEastAsia" w:hAnsi="Calibri" w:cstheme="minorBidi"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5">
    <w:nsid w:val="5E522D64"/>
    <w:multiLevelType w:val="hybridMultilevel"/>
    <w:tmpl w:val="0D805198"/>
    <w:lvl w:ilvl="0" w:tplc="C96814BA">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CF70C3"/>
    <w:multiLevelType w:val="hybridMultilevel"/>
    <w:tmpl w:val="D622984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73A37A03"/>
    <w:multiLevelType w:val="hybridMultilevel"/>
    <w:tmpl w:val="FE326B8C"/>
    <w:lvl w:ilvl="0" w:tplc="C96814BA">
      <w:start w:val="2"/>
      <w:numFmt w:val="bullet"/>
      <w:lvlText w:val="-"/>
      <w:lvlJc w:val="left"/>
      <w:pPr>
        <w:ind w:left="1854" w:hanging="360"/>
      </w:pPr>
      <w:rPr>
        <w:rFonts w:ascii="Calibri" w:eastAsiaTheme="minorEastAsia" w:hAnsi="Calibri" w:cstheme="minorBid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nsid w:val="78302D91"/>
    <w:multiLevelType w:val="hybridMultilevel"/>
    <w:tmpl w:val="8EF0F74C"/>
    <w:lvl w:ilvl="0" w:tplc="C96814BA">
      <w:start w:val="2"/>
      <w:numFmt w:val="bullet"/>
      <w:lvlText w:val="-"/>
      <w:lvlJc w:val="left"/>
      <w:pPr>
        <w:ind w:left="1440" w:hanging="360"/>
      </w:pPr>
      <w:rPr>
        <w:rFonts w:ascii="Calibri" w:eastAsiaTheme="minorEastAsia"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B9E1D09"/>
    <w:multiLevelType w:val="hybridMultilevel"/>
    <w:tmpl w:val="52CCE2BC"/>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8"/>
  </w:num>
  <w:num w:numId="6">
    <w:abstractNumId w:val="3"/>
  </w:num>
  <w:num w:numId="7">
    <w:abstractNumId w:val="7"/>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0660E1"/>
    <w:rsid w:val="000660E1"/>
    <w:rsid w:val="00CF43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unhideWhenUsed/>
    <w:qFormat/>
    <w:rsid w:val="000660E1"/>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660E1"/>
    <w:rPr>
      <w:rFonts w:asciiTheme="majorHAnsi" w:eastAsiaTheme="majorEastAsia" w:hAnsiTheme="majorHAnsi" w:cstheme="majorBidi"/>
      <w:b/>
      <w:bCs/>
      <w:i/>
      <w:iCs/>
      <w:color w:val="4F81BD" w:themeColor="accent1"/>
      <w:lang w:eastAsia="en-US"/>
    </w:rPr>
  </w:style>
  <w:style w:type="paragraph" w:styleId="Paragraphedeliste">
    <w:name w:val="List Paragraph"/>
    <w:basedOn w:val="Normal"/>
    <w:link w:val="ParagraphedelisteCar"/>
    <w:uiPriority w:val="34"/>
    <w:qFormat/>
    <w:rsid w:val="000660E1"/>
    <w:pPr>
      <w:spacing w:after="0" w:line="360" w:lineRule="auto"/>
      <w:ind w:left="720"/>
      <w:contextualSpacing/>
      <w:jc w:val="right"/>
    </w:pPr>
    <w:rPr>
      <w:rFonts w:ascii="Arial" w:eastAsiaTheme="minorHAnsi" w:hAnsi="Arial" w:cs="Arial"/>
      <w:sz w:val="21"/>
      <w:szCs w:val="21"/>
      <w:lang w:eastAsia="en-US"/>
    </w:rPr>
  </w:style>
  <w:style w:type="character" w:customStyle="1" w:styleId="ParagraphedelisteCar">
    <w:name w:val="Paragraphe de liste Car"/>
    <w:basedOn w:val="Policepardfaut"/>
    <w:link w:val="Paragraphedeliste"/>
    <w:uiPriority w:val="34"/>
    <w:rsid w:val="000660E1"/>
    <w:rPr>
      <w:rFonts w:ascii="Arial" w:eastAsiaTheme="minorHAnsi" w:hAnsi="Arial" w:cs="Arial"/>
      <w:sz w:val="21"/>
      <w:szCs w:val="21"/>
      <w:lang w:eastAsia="en-US"/>
    </w:rPr>
  </w:style>
  <w:style w:type="paragraph" w:styleId="NormalWeb">
    <w:name w:val="Normal (Web)"/>
    <w:basedOn w:val="Normal"/>
    <w:unhideWhenUsed/>
    <w:rsid w:val="000660E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0660E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0660E1"/>
  </w:style>
  <w:style w:type="character" w:styleId="Accentuation">
    <w:name w:val="Emphasis"/>
    <w:basedOn w:val="Policepardfaut"/>
    <w:uiPriority w:val="20"/>
    <w:qFormat/>
    <w:rsid w:val="000660E1"/>
    <w:rPr>
      <w:i/>
      <w:iCs/>
    </w:rPr>
  </w:style>
  <w:style w:type="paragraph" w:customStyle="1" w:styleId="Default">
    <w:name w:val="Default"/>
    <w:rsid w:val="000660E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1933</Words>
  <Characters>10637</Characters>
  <Application>Microsoft Office Word</Application>
  <DocSecurity>0</DocSecurity>
  <Lines>88</Lines>
  <Paragraphs>25</Paragraphs>
  <ScaleCrop>false</ScaleCrop>
  <Company/>
  <LinksUpToDate>false</LinksUpToDate>
  <CharactersWithSpaces>12545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2020-03-14T17:41:00Z</dcterms:created>
  <dcterms:modified xsi:type="dcterms:W3CDTF">2020-03-14T17:41:00Z</dcterms:modified>
</cp:coreProperties>
</file>