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18" w:rsidRPr="00421D37" w:rsidRDefault="004A2C18" w:rsidP="00421D37">
      <w:pPr>
        <w:rPr>
          <w:rFonts w:ascii="Simplified Arabic" w:hAnsi="Simplified Arabic" w:cs="Simplified Arabic"/>
          <w:sz w:val="28"/>
          <w:szCs w:val="28"/>
          <w:rtl/>
          <w:lang w:eastAsia="fr-FR"/>
        </w:rPr>
      </w:pPr>
    </w:p>
    <w:p w:rsidR="004A2C18" w:rsidRPr="00B160D7" w:rsidRDefault="004A2C18" w:rsidP="00421D37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جامعة</w:t>
      </w:r>
      <w:proofErr w:type="gramEnd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تلمسان </w:t>
      </w:r>
      <w:proofErr w:type="spellStart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/</w:t>
      </w:r>
      <w:proofErr w:type="spellEnd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قسم علم النفس</w:t>
      </w:r>
    </w:p>
    <w:p w:rsidR="004A2C18" w:rsidRPr="00B160D7" w:rsidRDefault="004A2C18" w:rsidP="00421D37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محا</w:t>
      </w:r>
      <w:r w:rsidR="00421D37"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ضرات في الاتصال التنظيمي </w:t>
      </w:r>
      <w:proofErr w:type="spellStart"/>
      <w:r w:rsidR="00421D37"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/</w:t>
      </w:r>
      <w:proofErr w:type="spellEnd"/>
      <w:r w:rsidR="00421D37"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421D37"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ماستر</w:t>
      </w:r>
      <w:proofErr w:type="spellEnd"/>
      <w:r w:rsidR="00421D37"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1</w:t>
      </w:r>
    </w:p>
    <w:p w:rsidR="004A2C18" w:rsidRPr="00B160D7" w:rsidRDefault="004A2C18" w:rsidP="00421D37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</w:pPr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علم نفس عمل و تنظيم </w:t>
      </w:r>
      <w:proofErr w:type="spellStart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/</w:t>
      </w:r>
      <w:proofErr w:type="spellEnd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أ </w:t>
      </w:r>
      <w:proofErr w:type="gramStart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مسلم</w:t>
      </w:r>
      <w:proofErr w:type="gramEnd"/>
      <w:r w:rsidRPr="00B160D7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 xml:space="preserve"> عبد الله</w:t>
      </w:r>
    </w:p>
    <w:p w:rsidR="004A2C18" w:rsidRPr="00B160D7" w:rsidRDefault="004A2C18" w:rsidP="00421D37">
      <w:pPr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>1/</w:t>
      </w:r>
      <w:proofErr w:type="gramStart"/>
      <w:r w:rsidR="007C3C05"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>أشكال</w:t>
      </w:r>
      <w:proofErr w:type="gramEnd"/>
      <w:r w:rsidR="007C3C05"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 xml:space="preserve"> الاتصال التنظيمي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من المنظور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الواسع،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يأخذ التواصل التنظيمي ثلاثة أشكال مختلفة نذكرها مع الشرح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كالتالي</w:t>
      </w:r>
      <w:proofErr w:type="gramEnd"/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الاتصال التشغيلي الداخلي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الاتصالات التشغيلي الخارجي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الاتصال الغير رسمي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هذه الأشكال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الثلاثة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للتواصل التنظيمي سيتم توضيحها كالتالي</w:t>
      </w:r>
    </w:p>
    <w:p w:rsidR="007C3C05" w:rsidRPr="00B160D7" w:rsidRDefault="004A2C18" w:rsidP="00421D37">
      <w:pPr>
        <w:rPr>
          <w:rFonts w:ascii="Simplified Arabic" w:hAnsi="Simplified Arabic" w:cs="Simplified Arabic"/>
          <w:b/>
          <w:bCs/>
          <w:color w:val="00B0F0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>أ/</w:t>
      </w:r>
      <w:r w:rsidR="007C3C05"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>الاتصال التشغيلي الداخلي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يُعرف التواصل الذي يحدث لتنفيذ عمليات المنظمة باسم الاتصال التشغيلي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الداخلي،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الأعضاء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الداخليون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المنظمة مثل العمال والمديرين ومجلس الإدارة وعضو النقابات وما إلى ذلك هم المشاركون في الاتصال الداخلي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هذا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النوع من التواصل التنظيمي يأخذ الشكل الشفهي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والخطي،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يحدث التواصل الشفهي من خلال محادثة وجهاً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لوجه،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والهاتف،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والاجتماع وما إلى ذلك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ويحدث التواصل الكتابي من خلال الأوامر والتعليمات والتقارير والمذكرات والرسائل وما إلى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ذلك،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العصر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الحديث،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توفر العديد من المنظمات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الإنترانت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كوسيلة للاتصال الإلكتروني الداخلي</w:t>
      </w:r>
    </w:p>
    <w:p w:rsidR="007C3C05" w:rsidRPr="00B160D7" w:rsidRDefault="007C3C05" w:rsidP="00421D37">
      <w:pPr>
        <w:rPr>
          <w:rFonts w:ascii="Simplified Arabic" w:hAnsi="Simplified Arabic" w:cs="Simplified Arabic"/>
          <w:b/>
          <w:bCs/>
          <w:color w:val="00B0F0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 xml:space="preserve"> </w:t>
      </w:r>
      <w:r w:rsidR="004A2C18"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>ب</w:t>
      </w:r>
      <w:r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>/الاتصال التشغيلي</w:t>
      </w:r>
      <w:r w:rsidR="004A2C18"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 xml:space="preserve"> الخارجي</w:t>
      </w:r>
      <w:r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 xml:space="preserve"> 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يُعرف التواصل مع الأطراف أو المجموعات الخارجية باسم الاتصال التشغيلي الخارجي. تشمل الأطراف الخارجية العملاء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والموردين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والهيئات الحكومية والسلطة التنظيمية والمجتمع المحلي ومجموعة المصالح الخاصة وعامة الجمهور</w:t>
      </w:r>
    </w:p>
    <w:p w:rsidR="007C3C05" w:rsidRPr="00B160D7" w:rsidRDefault="004A2C18" w:rsidP="00421D37">
      <w:pPr>
        <w:rPr>
          <w:rFonts w:ascii="Simplified Arabic" w:hAnsi="Simplified Arabic" w:cs="Simplified Arabic"/>
          <w:b/>
          <w:bCs/>
          <w:color w:val="00B0F0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>ج</w:t>
      </w:r>
      <w:r w:rsidR="007C3C05"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 xml:space="preserve"> </w:t>
      </w:r>
      <w:proofErr w:type="spellStart"/>
      <w:r w:rsidR="007C3C05"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>/</w:t>
      </w:r>
      <w:proofErr w:type="spellEnd"/>
      <w:r w:rsidR="007C3C05" w:rsidRPr="00B160D7">
        <w:rPr>
          <w:rFonts w:ascii="Simplified Arabic" w:hAnsi="Simplified Arabic" w:cs="Simplified Arabic"/>
          <w:b/>
          <w:bCs/>
          <w:color w:val="00B0F0"/>
          <w:sz w:val="28"/>
          <w:szCs w:val="28"/>
          <w:rtl/>
          <w:lang w:eastAsia="fr-FR"/>
        </w:rPr>
        <w:t xml:space="preserve"> الاتصال الغير رسمي     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التواصل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الذي يحدث لتبادل المعلومات والأفكار والمشاعر الشخصية بدلاً من المعلومات المتعلقة بالأعمال التجارية يطلق عليه التواصل الغير رسمي (العفوي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)،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ليست كل الاتصالات التي تحدث في العمل رسمية</w:t>
      </w:r>
    </w:p>
    <w:p w:rsidR="007C3C05" w:rsidRPr="00B160D7" w:rsidRDefault="004A2C18" w:rsidP="00421D37">
      <w:pPr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lang w:eastAsia="fr-FR"/>
        </w:rPr>
      </w:pPr>
      <w:proofErr w:type="spellStart"/>
      <w:r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>2/</w:t>
      </w:r>
      <w:proofErr w:type="spellEnd"/>
      <w:r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 xml:space="preserve"> </w:t>
      </w:r>
      <w:proofErr w:type="gramStart"/>
      <w:r w:rsidR="007C3C05"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>أهمية</w:t>
      </w:r>
      <w:proofErr w:type="gramEnd"/>
      <w:r w:rsidR="007C3C05"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 xml:space="preserve"> الاتصال التنظيمي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يمكننا تلخيص أهمية الاتصال التنظيمي فيما يلي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-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إنجاز المهام المتعلقة بالأدوار والمسؤوليات المحددة سابقا.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-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التأقلم مع التغييرات من خلال الاجتهاد الفردي والتنظيمي والتكيف مع ذلك.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lastRenderedPageBreak/>
        <w:t>-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إكمال المهام من خلال الحفاظ على السياسات أو الإجراءات أو اللوائح التي تدعم العمليات اليومية والمستمرة.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-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تطوير العلاقات داخل المنظمة حيث “يتم توجيه الرسائل البشرية إلى الناس داخل المنظمة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-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مواقفهم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الروح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المعنوية،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نسبة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الارتياح،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والوفاء”.</w:t>
      </w:r>
      <w:proofErr w:type="spellEnd"/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-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تنسيق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وتخطيط والسيطرة على عمليات المنظمة من خلال الإدارة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يمكن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وصف التواصل التنظيمي على أنه كيفية تمثيل المنظمات وتقديمها وتشكيل مناخها التنظيمي وثقافتها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–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المواقف والقيم والأهداف التي تميز المنظمة وأعضائها.</w:t>
      </w:r>
    </w:p>
    <w:p w:rsidR="007C3C05" w:rsidRPr="00B160D7" w:rsidRDefault="004A2C18" w:rsidP="00421D37">
      <w:pPr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>3/</w:t>
      </w:r>
      <w:r w:rsidR="007C3C05" w:rsidRPr="00B160D7">
        <w:rPr>
          <w:rFonts w:ascii="Simplified Arabic" w:hAnsi="Simplified Arabic" w:cs="Simplified Arabic"/>
          <w:b/>
          <w:bCs/>
          <w:color w:val="E36C0A" w:themeColor="accent6" w:themeShade="BF"/>
          <w:sz w:val="28"/>
          <w:szCs w:val="28"/>
          <w:rtl/>
          <w:lang w:eastAsia="fr-FR"/>
        </w:rPr>
        <w:t>الأنواع الأساسية للاتصال التنظيمي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يتم تقسيم أنواع الاتصال التنظيمي إلى ثلاث (03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)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أنواع: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وفق الهيكل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التنظيمي،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وفق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للاتجاه،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وفق لطريقة التعبير. ويمكن شرح ذلك فيما يلي:</w:t>
      </w:r>
      <w:r w:rsidRPr="00421D37">
        <w:rPr>
          <w:rFonts w:ascii="Simplified Arabic" w:hAnsi="Simplified Arabic" w:cs="Simplified Arabic"/>
          <w:sz w:val="28"/>
          <w:szCs w:val="28"/>
          <w:lang w:eastAsia="fr-FR"/>
        </w:rPr>
        <w:t>:</w:t>
      </w:r>
    </w:p>
    <w:p w:rsidR="007C3C05" w:rsidRPr="00B160D7" w:rsidRDefault="007C3C05" w:rsidP="00421D37">
      <w:pPr>
        <w:rPr>
          <w:rFonts w:ascii="Simplified Arabic" w:hAnsi="Simplified Arabic" w:cs="Simplified Arabic"/>
          <w:b/>
          <w:bCs/>
          <w:color w:val="4F81BD" w:themeColor="accent1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4F81BD" w:themeColor="accent1"/>
          <w:sz w:val="28"/>
          <w:szCs w:val="28"/>
          <w:rtl/>
          <w:lang w:eastAsia="fr-FR"/>
        </w:rPr>
        <w:t>1/الاتصال وفق الهيكل التنظيمي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ينقسم إلى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نوعين: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الرسمي والاتصال غير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الرسمي،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وذلك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كما يلي</w:t>
      </w:r>
    </w:p>
    <w:p w:rsidR="007C3C05" w:rsidRPr="00B160D7" w:rsidRDefault="007C3C05" w:rsidP="00421D37">
      <w:pPr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rtl/>
          <w:lang w:eastAsia="fr-FR"/>
        </w:rPr>
        <w:t>أ/</w:t>
      </w:r>
      <w:proofErr w:type="gramStart"/>
      <w:r w:rsidRPr="00B160D7"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rtl/>
          <w:lang w:eastAsia="fr-FR"/>
        </w:rPr>
        <w:t>الاتصال</w:t>
      </w:r>
      <w:proofErr w:type="gramEnd"/>
      <w:r w:rsidRPr="00B160D7"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rtl/>
          <w:lang w:eastAsia="fr-FR"/>
        </w:rPr>
        <w:t xml:space="preserve"> الرسمي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هذا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هو مرتبط بهيكل التنظيم الرسمي ومنصب عمل أو رتبة المتلقي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والمستقبل،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ينتقل عبر القنوات الرسمية المعترف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بها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المخطط التنظيمي. الاتصالات الرسمية هي في معظمها بالأبيض والأسود.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spellStart"/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وبالتالي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الرسمي يهدف لتنظيم تدفق الاتصالات وذلك لضمان تدفق المعلومات بسلاسة ودقة وفي الوقت المناسب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نأتي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كثير من الأحيان عبر عبارة “من خلال قناة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مناسبة”،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وذاك هو جوهر قناة الاتصال الرسمي.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على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سبيل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المثال،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عندما يصدر المدير العام تعليمات (بسبب منصبه الرفيع في المنظمة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)،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يكون ذلك بمثابة اتصال رسمي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أشكال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الاتصالات الرسمية هي كما يلي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lang w:eastAsia="fr-FR"/>
        </w:rPr>
        <w:t> 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اجتماعات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الإدارات،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المؤتمرات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،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المكالمات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الهاتفية،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نشرات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أخبار الشركة،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المقابلات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الخاصة والمنشورات والرسائل ذات الأغراض الخاصة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الميزة الرئيسية للاتصال الرسمي هي أن القنوات الرسمية تمكن المعلومات الروتينية والموحدة من المرور دون الحاجة للكثير من الاهتمام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الإداري،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وهو ما يسمح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للمسؤولين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التنفيذيين والمديرون لتحويل تركيزهم للمسائل ذات الأهمية القصوى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lastRenderedPageBreak/>
        <w:t>ولكن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الوقت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نفسه،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للاتصال الرسمي نقطة ضعف تتمثل في أن التواصل من خلال القنوات الرسمية يعيق إلى حد كبير التدفق الحر والغير منقطع للمعلومات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B160D7" w:rsidRDefault="006F585B" w:rsidP="00421D37">
      <w:pPr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rtl/>
          <w:lang w:eastAsia="fr-FR"/>
        </w:rPr>
        <w:t>ب/</w:t>
      </w:r>
      <w:r w:rsidR="007C3C05" w:rsidRPr="00B160D7">
        <w:rPr>
          <w:rFonts w:ascii="Simplified Arabic" w:hAnsi="Simplified Arabic" w:cs="Simplified Arabic"/>
          <w:b/>
          <w:bCs/>
          <w:color w:val="943634" w:themeColor="accent2" w:themeShade="BF"/>
          <w:sz w:val="28"/>
          <w:szCs w:val="28"/>
          <w:rtl/>
          <w:lang w:eastAsia="fr-FR"/>
        </w:rPr>
        <w:t>الاتصال غير الرسمي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يُعرف التواصل غير الرسمي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بأنه</w:t>
      </w: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معفى من جميع أنواع الشكليات لأنه يستخدم في العلاقات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غير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الرسمية بين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الأطراف،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مثل الصداقة أو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العضويات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النوادي أو الجمعيات نفسها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يستخدم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الأشخاص على المستويات التنفيذية أيضًا التواصل غير الرسمي عندما يجدون صعوبة في جمع المعلومات من العمال. يتضمن هذا التواصل تعليقات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واقتراحات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وما إلى ذلك. قد يتم إيصاله بنظرة بسيطة أو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إيماءة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أو ابتسامة أو مجرد صمت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المدراء والمديرين التنفيذيين يفضلون أيضا نمو وتطوير شبكة الاتصالات غير الرسمية.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هذه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العملية في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الواقع،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تخدم غرضًا مفيدًا للغاية في نشر بعض المعلومات بما يحقق المصلحة العامة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للمنظمة،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والتي لا يمكن نقلها عبر القنوات الرسمية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بصرف النظر عن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ذلك،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فإنه يوفر أيضًا للقادة والرؤساء معلومات أكثر وضوحًا عما يفكر ويشعر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به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المرؤوسون.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ولكن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الوقت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نفسه،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فإن نقاط الضعف في التواصل غير الرسمي جديرة بالملاحظة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والذكر،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هذه العملية غالبًا ما تمرر معلومات وحقائق مشوهة وغير دقيقة ويكون هناك سوء في التفسير ونصف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الحقيقة،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وذلك اعتمادًا على الظروف والرسالة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رغم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ذلك لا يمكن للرؤساء والمديرين التخلص من الاتصال غير الرسمي في المنظمة</w:t>
      </w:r>
    </w:p>
    <w:p w:rsidR="007C3C05" w:rsidRPr="00B160D7" w:rsidRDefault="00B160D7" w:rsidP="00B160D7">
      <w:pPr>
        <w:tabs>
          <w:tab w:val="left" w:pos="6977"/>
          <w:tab w:val="right" w:pos="9072"/>
        </w:tabs>
        <w:jc w:val="left"/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  <w:lang w:eastAsia="fr-FR"/>
        </w:rPr>
        <w:tab/>
      </w:r>
      <w:r w:rsidRPr="00B160D7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  <w:lang w:eastAsia="fr-FR"/>
        </w:rPr>
        <w:tab/>
      </w:r>
      <w:r w:rsidR="006F585B" w:rsidRPr="00B160D7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  <w:lang w:eastAsia="fr-FR"/>
        </w:rPr>
        <w:t>2/</w:t>
      </w:r>
      <w:r w:rsidR="007C3C05" w:rsidRPr="00B160D7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  <w:lang w:eastAsia="fr-FR"/>
        </w:rPr>
        <w:t>الاتصال وفقا للاتجاه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وينقسم إلى ثلاث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أنواع: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الاتصال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النازل،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الصاعد والاتصال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الأفقي،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وذلك كما يلي</w:t>
      </w:r>
      <w:r w:rsidRPr="00421D37">
        <w:rPr>
          <w:rFonts w:ascii="Simplified Arabic" w:hAnsi="Simplified Arabic" w:cs="Simplified Arabic"/>
          <w:sz w:val="28"/>
          <w:szCs w:val="28"/>
          <w:lang w:eastAsia="fr-FR"/>
        </w:rPr>
        <w:t>:</w:t>
      </w:r>
    </w:p>
    <w:p w:rsidR="007C3C05" w:rsidRPr="00421D37" w:rsidRDefault="006F585B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أ/</w:t>
      </w:r>
      <w:proofErr w:type="gramStart"/>
      <w:r w:rsidR="007C3C05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الاتصال</w:t>
      </w:r>
      <w:proofErr w:type="gramEnd"/>
      <w:r w:rsidR="007C3C05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النازل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يشار إلى التواصل الذي يتدفق من الرؤساء إلى المرؤوسين بالاتصال النازل.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في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الهيكل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التنظيمي،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يجب على المديرين التنفيذيين ممارسة صلاحياتهم لتحقيق الأهداف المرجوة والتي تنطوي على إصدار الأوامر والتعليمات والتوجيهات للأشخاص في المستويات الأدنى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ويسمى هذا الاتصال بالاتصال النازل.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في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ظل الاتصال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النازل،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من المتوقع أن يتم الأداء الفوري للوظيفة أو المهمة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B160D7" w:rsidRDefault="006F585B" w:rsidP="00421D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>ب/</w:t>
      </w:r>
      <w:proofErr w:type="gramStart"/>
      <w:r w:rsidR="007C3C05"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>الاتصال</w:t>
      </w:r>
      <w:proofErr w:type="gramEnd"/>
      <w:r w:rsidR="007C3C05"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 xml:space="preserve"> الصاعد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في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الصاعد،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يتم التواصل بين الأشخاص من المستوى الأدنى مع من هم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فوقهم،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هي عكس الاتصال النازل. </w:t>
      </w:r>
      <w:proofErr w:type="spellStart"/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يشتمل</w:t>
      </w:r>
      <w:proofErr w:type="spellEnd"/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هذا النوع من التواصل على ردود فعل ومقترحات من العمال وتظلماتهم وما إلى ذلك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محتويات التواصل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الصاعد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هي التقارير وردود الفعل وبيانات الاقتراحات وال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مقترحات المعدة للتقديم إلى الرئيس.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lastRenderedPageBreak/>
        <w:t xml:space="preserve">قد يتشوه الاتصال الصاعد نظرًا لطبيعة علاقات الرؤساء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والمرؤوسين،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ليس من المرجح أن يقدم الموظف أي معلومات قد تؤثر عليه سلبًا. علاوة على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ذلك،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قد ينقل معلومات خاطئة لإثارة إعجاب رؤسائه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ويتدفق هذا الاتصال عبر العديد من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الوسائط،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على سبيل المثال الهرم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القيادي،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صناديق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الاقتراحات،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الاتصالات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الشخصية،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والدراسات الاستقصائية الخاصة بالمواقف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والمعنويات،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وإجراءات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التظلم،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والخطوط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الخاصة،</w:t>
      </w:r>
      <w:proofErr w:type="spellEnd"/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والنقابات العمالية......</w:t>
      </w:r>
    </w:p>
    <w:p w:rsidR="007C3C05" w:rsidRPr="00B160D7" w:rsidRDefault="006F585B" w:rsidP="00421D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lang w:eastAsia="fr-FR"/>
        </w:rPr>
      </w:pPr>
      <w:proofErr w:type="spellStart"/>
      <w:r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>ج/</w:t>
      </w:r>
      <w:proofErr w:type="spellEnd"/>
      <w:r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proofErr w:type="gramStart"/>
      <w:r w:rsidR="007C3C05"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>الاتصال</w:t>
      </w:r>
      <w:proofErr w:type="gramEnd"/>
      <w:r w:rsidR="007C3C05"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 xml:space="preserve"> الأفقي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عندما يتم الاتصال بين شخصين أو أكثر من المرؤوسين لنفس الشخص أو أولئك الذين يعملون على نفس المستوى من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المنظمة،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يُعرف الاتصال باسم الا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تصال الأفقي _</w:t>
      </w: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الجانبي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_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التواصل بين المديرين الوظيفيين أو بين المرؤوسين الذين يعملون تحت رئيس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واحد،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والتواصل بين مديري المصانع المختلفة هو مثال على هذا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التواصل،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قد يكون الاتصال الأفقي شفهيًا ومكتوبًا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تلبي الاتصالات الأفقية احتياجات الناس إلى المعرفة من أقرانهم دون مراعاة المستويات الأخرى في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المنظمة،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من الصعب حقًا على المنظمة أن تعمل بكفاءة 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دون تدفقات الاتصالات الأفقية 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على الرغم من أن التصميم التنظيمي الرسمي لا يوفر تدفقات الاتصال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هذه،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إلا أنه ضروري للتنسيق والتكامل بين الوظائف التنظيمية المختلفة</w:t>
      </w:r>
    </w:p>
    <w:p w:rsidR="007C3C05" w:rsidRPr="00B160D7" w:rsidRDefault="006F585B" w:rsidP="00421D37">
      <w:pPr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  <w:lang w:eastAsia="fr-FR"/>
        </w:rPr>
        <w:t>3/</w:t>
      </w:r>
      <w:r w:rsidR="007C3C05" w:rsidRPr="00B160D7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  <w:lang w:eastAsia="fr-FR"/>
        </w:rPr>
        <w:t>الاتصال وفقًا لطريقة التعبير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وينقسم إلى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نوعين: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الاتصال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الشفوي،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الكتابي. وذلك كما يلي</w:t>
      </w:r>
    </w:p>
    <w:p w:rsidR="007C3C05" w:rsidRPr="00B160D7" w:rsidRDefault="006F585B" w:rsidP="00421D37">
      <w:pPr>
        <w:rPr>
          <w:rFonts w:ascii="Simplified Arabic" w:hAnsi="Simplified Arabic" w:cs="Simplified Arabic"/>
          <w:b/>
          <w:bCs/>
          <w:color w:val="C00000"/>
          <w:sz w:val="28"/>
          <w:szCs w:val="28"/>
          <w:lang w:eastAsia="fr-FR"/>
        </w:rPr>
      </w:pPr>
      <w:r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>أ/</w:t>
      </w:r>
      <w:proofErr w:type="gramStart"/>
      <w:r w:rsidR="007C3C05"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>الاتصال</w:t>
      </w:r>
      <w:proofErr w:type="gramEnd"/>
      <w:r w:rsidR="007C3C05" w:rsidRPr="00B16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eastAsia="fr-FR"/>
        </w:rPr>
        <w:t xml:space="preserve"> الشفوي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التواصل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الشفهي هو اتصال مباشر بين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شخصين،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في الاتصالات الشفوية يتبادل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الطرفان،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أي المرسل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والمستقبل،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أفكارهما من خلال كلمات شفهية إما في محادثة وجهاً لوجه أو من خلال جهاز مثل الهاتف أو المؤتمرات الهاتفية وما إلى ذلك</w:t>
      </w:r>
      <w:r w:rsidR="006F585B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عندما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يكون التواصل وجهاً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لوجه،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يمكن للشخص المتصل أن يطرح أسئلة أو تفسيرات أو في بعض الأحيان عندما لا يتم فهم الاتصال بشكل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صحيح،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يمكنه توضيح المعنى</w:t>
      </w:r>
      <w:r w:rsidR="00A734D4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يكون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الاتصال الشفهي ممكن بشكل عام عندما يكون هناك اتصال مباشر أو رسالة يتم إيصالها ليست ذات طبيعة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دائمة،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الاجتماعات والمؤتمرات والمحاضرات والمقابلات وسائل الإعلام الأخرى هي أمثلة لمثل هذا النوع من الاتصال</w:t>
      </w:r>
      <w:r w:rsidR="00A734D4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B160D7" w:rsidRDefault="00A734D4" w:rsidP="00421D37">
      <w:pPr>
        <w:rPr>
          <w:rFonts w:ascii="Simplified Arabic" w:hAnsi="Simplified Arabic" w:cs="Simplified Arabic"/>
          <w:color w:val="C00000"/>
          <w:sz w:val="28"/>
          <w:szCs w:val="28"/>
          <w:lang w:eastAsia="fr-FR"/>
        </w:rPr>
      </w:pPr>
      <w:proofErr w:type="spellStart"/>
      <w:r w:rsidRPr="00B160D7">
        <w:rPr>
          <w:rFonts w:ascii="Simplified Arabic" w:hAnsi="Simplified Arabic" w:cs="Simplified Arabic"/>
          <w:color w:val="C00000"/>
          <w:sz w:val="28"/>
          <w:szCs w:val="28"/>
          <w:rtl/>
          <w:lang w:eastAsia="fr-FR"/>
        </w:rPr>
        <w:t>ب/</w:t>
      </w:r>
      <w:proofErr w:type="spellEnd"/>
      <w:r w:rsidRPr="00B160D7">
        <w:rPr>
          <w:rFonts w:ascii="Simplified Arabic" w:hAnsi="Simplified Arabic" w:cs="Simplified Arabic"/>
          <w:color w:val="C00000"/>
          <w:sz w:val="28"/>
          <w:szCs w:val="28"/>
          <w:rtl/>
          <w:lang w:eastAsia="fr-FR"/>
        </w:rPr>
        <w:t xml:space="preserve"> </w:t>
      </w:r>
      <w:proofErr w:type="gramStart"/>
      <w:r w:rsidR="007C3C05" w:rsidRPr="00B160D7">
        <w:rPr>
          <w:rFonts w:ascii="Simplified Arabic" w:hAnsi="Simplified Arabic" w:cs="Simplified Arabic"/>
          <w:color w:val="C00000"/>
          <w:sz w:val="28"/>
          <w:szCs w:val="28"/>
          <w:rtl/>
          <w:lang w:eastAsia="fr-FR"/>
        </w:rPr>
        <w:t>الاتصال</w:t>
      </w:r>
      <w:proofErr w:type="gramEnd"/>
      <w:r w:rsidR="007C3C05" w:rsidRPr="00B160D7">
        <w:rPr>
          <w:rFonts w:ascii="Simplified Arabic" w:hAnsi="Simplified Arabic" w:cs="Simplified Arabic"/>
          <w:color w:val="C00000"/>
          <w:sz w:val="28"/>
          <w:szCs w:val="28"/>
          <w:rtl/>
          <w:lang w:eastAsia="fr-FR"/>
        </w:rPr>
        <w:t xml:space="preserve"> الكتابي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عندما يتم نقل الاتصال إلى الأبيض والأسود (الكتابة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)،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يطلق عليه الاتصال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الكتابي،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ويتضمن ذلك الكلمات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المكتوبة،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الرسوم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البيانية،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الصور،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إلخ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 الاتصال الكتابي يستخدم على نطاق واسع في المنظمات</w:t>
      </w:r>
      <w:r w:rsidR="00A734D4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lastRenderedPageBreak/>
        <w:t>في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بعض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الأحيان،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يصبح هذا النوع من التواصل أمرًا لا غنى عنه كما في حالة القواعد أو الأوامر أو الجداول الزمنية أو الأمور المتعلقة بسياسة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المنظمة،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تعتبر النشرات والمجلات والملاحظات بعض الأشكال الشائعة للاتصال الكتابي</w:t>
      </w:r>
      <w:r w:rsidR="00A734D4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7C3C05" w:rsidRPr="00421D37" w:rsidRDefault="007C3C05" w:rsidP="00421D37">
      <w:pPr>
        <w:rPr>
          <w:rFonts w:ascii="Simplified Arabic" w:hAnsi="Simplified Arabic" w:cs="Simplified Arabic"/>
          <w:sz w:val="28"/>
          <w:szCs w:val="28"/>
          <w:rtl/>
          <w:lang w:eastAsia="fr-FR"/>
        </w:rPr>
      </w:pP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يمكن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التأكيد على أن الاتصال الشفهي والكتابي في جميع أنواع المؤسسات هو أمر عملي وهام. ما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النموذج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الذي يجب استخدامه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وتطبيقه؟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يعتمد ذلك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على</w:t>
      </w:r>
      <w:proofErr w:type="gram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نوع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الرسالة،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وأهميتها بالنسبة إلى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المستقبل،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وتأثيرها على الجوانب الوظيفية للمنظمة</w:t>
      </w:r>
      <w:r w:rsidR="00A734D4" w:rsidRPr="00421D37">
        <w:rPr>
          <w:rFonts w:ascii="Simplified Arabic" w:hAnsi="Simplified Arabic" w:cs="Simplified Arabic"/>
          <w:sz w:val="28"/>
          <w:szCs w:val="28"/>
          <w:rtl/>
          <w:lang w:eastAsia="fr-FR"/>
        </w:rPr>
        <w:t>.</w:t>
      </w:r>
    </w:p>
    <w:p w:rsidR="004A2C18" w:rsidRPr="00B160D7" w:rsidRDefault="00910BFA" w:rsidP="00421D37">
      <w:pPr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eastAsia="fr-FR"/>
        </w:rPr>
      </w:pPr>
      <w:r w:rsidRPr="00B160D7"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eastAsia="fr-FR"/>
        </w:rPr>
        <w:t xml:space="preserve">يمكن الاطلاع </w:t>
      </w:r>
      <w:r w:rsidR="004A2C18" w:rsidRPr="00B160D7"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eastAsia="fr-FR"/>
        </w:rPr>
        <w:t>على المراجع التالية</w:t>
      </w:r>
      <w:r w:rsidR="00B160D7">
        <w:rPr>
          <w:rFonts w:ascii="Simplified Arabic" w:hAnsi="Simplified Arabic" w:cs="Simplified Arabic" w:hint="cs"/>
          <w:color w:val="FF0000"/>
          <w:sz w:val="28"/>
          <w:szCs w:val="28"/>
          <w:u w:val="single"/>
          <w:rtl/>
          <w:lang w:eastAsia="fr-FR"/>
        </w:rPr>
        <w:t xml:space="preserve">  لمزيد من المعلومات</w:t>
      </w:r>
    </w:p>
    <w:p w:rsidR="00910BFA" w:rsidRPr="00421D37" w:rsidRDefault="00910BFA" w:rsidP="00421D37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</w:pPr>
      <w:proofErr w:type="spellStart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1/</w:t>
      </w:r>
      <w:proofErr w:type="spellEnd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محمد أبو </w:t>
      </w:r>
      <w:proofErr w:type="gram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سمر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:</w:t>
      </w:r>
      <w:proofErr w:type="spellEnd"/>
      <w:proofErr w:type="gram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الاتصال الإداري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دار أسامة ،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ط1،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الأردن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عمان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2009</w:t>
      </w:r>
    </w:p>
    <w:p w:rsidR="00910BFA" w:rsidRPr="00421D37" w:rsidRDefault="00910BFA" w:rsidP="00421D37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2  </w:t>
      </w:r>
      <w:proofErr w:type="spellStart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/</w:t>
      </w:r>
      <w:proofErr w:type="spellEnd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ناصر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دادي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عدون : الاتصال و دوره في كفاءة المؤسسة الاقتصادية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دار المحمدية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ط1،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الجزائر 2004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1D37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3</w:t>
      </w:r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/</w:t>
      </w:r>
      <w:proofErr w:type="spellEnd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بشير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العلاق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الاتصال في المنظمات العامة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دار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اليازوري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ط1،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الأردن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عمان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2009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10BFA" w:rsidRPr="00421D37" w:rsidRDefault="00910BFA" w:rsidP="00421D37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</w:pPr>
      <w:proofErr w:type="spellStart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4/</w:t>
      </w:r>
      <w:proofErr w:type="spellEnd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بوحنية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قوي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الاتصالات الإدارية داخل المنظمة المعاصرة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ديوان المطبوعات الجامعية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الجزائر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2010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910BFA" w:rsidRPr="00421D37" w:rsidRDefault="00910BFA" w:rsidP="00421D37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5/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ناصر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قاسيمي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الاتصال في المؤسسة دراسة نظرية و تطبيقية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ديوان المطبوعات الجامعية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ط1،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الجزائر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2011</w:t>
      </w:r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910BFA" w:rsidRPr="00421D37" w:rsidRDefault="00910BFA" w:rsidP="00421D37">
      <w:pP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</w:pP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6/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مصطفى حجازي وعبد الرحمان البريدي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الاتصال الفعال في العلاقات الإنسانية والإدارة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المؤسسة الجامعية للدراسات والنشر والتوزيع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ط2</w:t>
      </w:r>
      <w:proofErr w:type="spellEnd"/>
      <w:r w:rsidRPr="00421D37">
        <w:rPr>
          <w:rFonts w:ascii="Simplified Arabic" w:hAnsi="Simplified Arabic" w:cs="Simplified Arabic"/>
          <w:sz w:val="28"/>
          <w:szCs w:val="28"/>
        </w:rPr>
        <w:br/>
      </w:r>
      <w:proofErr w:type="spellStart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7/</w:t>
      </w:r>
      <w:proofErr w:type="spellEnd"/>
      <w:r w:rsidRPr="00421D37">
        <w:rPr>
          <w:rStyle w:val="apple-tab-span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بوفلجة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غياث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مقدمة في علم النفس التنظيمي،ديوان المطبوعات </w:t>
      </w:r>
      <w:proofErr w:type="spellStart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الجامعية،</w:t>
      </w:r>
      <w:proofErr w:type="spellEnd"/>
      <w:r w:rsidRPr="00421D37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الجزائر.</w:t>
      </w:r>
      <w:r w:rsidRPr="00421D37">
        <w:rPr>
          <w:rFonts w:ascii="Simplified Arabic" w:hAnsi="Simplified Arabic" w:cs="Simplified Arabic"/>
          <w:sz w:val="28"/>
          <w:szCs w:val="28"/>
        </w:rPr>
        <w:br/>
      </w:r>
    </w:p>
    <w:p w:rsidR="00910BFA" w:rsidRPr="00421D37" w:rsidRDefault="00910BFA" w:rsidP="00421D37">
      <w:pPr>
        <w:rPr>
          <w:rFonts w:ascii="Simplified Arabic" w:hAnsi="Simplified Arabic" w:cs="Simplified Arabic"/>
          <w:sz w:val="28"/>
          <w:szCs w:val="28"/>
          <w:rtl/>
          <w:lang w:eastAsia="fr-FR"/>
        </w:rPr>
      </w:pPr>
    </w:p>
    <w:p w:rsidR="004A2C18" w:rsidRPr="00421D37" w:rsidRDefault="004A2C18" w:rsidP="00421D37">
      <w:pPr>
        <w:rPr>
          <w:rFonts w:ascii="Simplified Arabic" w:hAnsi="Simplified Arabic" w:cs="Simplified Arabic"/>
          <w:sz w:val="28"/>
          <w:szCs w:val="28"/>
          <w:lang w:eastAsia="fr-FR"/>
        </w:rPr>
      </w:pPr>
    </w:p>
    <w:p w:rsidR="00702459" w:rsidRPr="00421D37" w:rsidRDefault="00702459" w:rsidP="00421D37">
      <w:pPr>
        <w:rPr>
          <w:rFonts w:ascii="Simplified Arabic" w:hAnsi="Simplified Arabic" w:cs="Simplified Arabic"/>
          <w:sz w:val="28"/>
          <w:szCs w:val="28"/>
        </w:rPr>
      </w:pPr>
    </w:p>
    <w:sectPr w:rsidR="00702459" w:rsidRPr="00421D37" w:rsidSect="007024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BE" w:rsidRDefault="004C10BE" w:rsidP="00910BFA">
      <w:r>
        <w:separator/>
      </w:r>
    </w:p>
  </w:endnote>
  <w:endnote w:type="continuationSeparator" w:id="0">
    <w:p w:rsidR="004C10BE" w:rsidRDefault="004C10BE" w:rsidP="0091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34"/>
      <w:docPartObj>
        <w:docPartGallery w:val="Page Numbers (Bottom of Page)"/>
        <w:docPartUnique/>
      </w:docPartObj>
    </w:sdtPr>
    <w:sdtContent>
      <w:p w:rsidR="00910BFA" w:rsidRDefault="00976E00">
        <w:pPr>
          <w:pStyle w:val="Pieddepage"/>
          <w:jc w:val="center"/>
        </w:pPr>
        <w:fldSimple w:instr=" PAGE   \* MERGEFORMAT ">
          <w:r w:rsidR="00B160D7">
            <w:rPr>
              <w:noProof/>
            </w:rPr>
            <w:t>5</w:t>
          </w:r>
        </w:fldSimple>
      </w:p>
    </w:sdtContent>
  </w:sdt>
  <w:p w:rsidR="00910BFA" w:rsidRDefault="00910B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BE" w:rsidRDefault="004C10BE" w:rsidP="00910BFA">
      <w:r>
        <w:separator/>
      </w:r>
    </w:p>
  </w:footnote>
  <w:footnote w:type="continuationSeparator" w:id="0">
    <w:p w:rsidR="004C10BE" w:rsidRDefault="004C10BE" w:rsidP="00910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0B9"/>
    <w:multiLevelType w:val="multilevel"/>
    <w:tmpl w:val="B00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0053C2"/>
    <w:multiLevelType w:val="multilevel"/>
    <w:tmpl w:val="C37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F10AF"/>
    <w:multiLevelType w:val="multilevel"/>
    <w:tmpl w:val="78F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C05"/>
    <w:rsid w:val="00421D37"/>
    <w:rsid w:val="004A2C18"/>
    <w:rsid w:val="004C10BE"/>
    <w:rsid w:val="005B6DA3"/>
    <w:rsid w:val="006F585B"/>
    <w:rsid w:val="00702459"/>
    <w:rsid w:val="007C3C05"/>
    <w:rsid w:val="00910BFA"/>
    <w:rsid w:val="00931F4D"/>
    <w:rsid w:val="00976E00"/>
    <w:rsid w:val="00A734D4"/>
    <w:rsid w:val="00B160D7"/>
    <w:rsid w:val="00BA4CB8"/>
    <w:rsid w:val="00C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59"/>
  </w:style>
  <w:style w:type="paragraph" w:styleId="Titre2">
    <w:name w:val="heading 2"/>
    <w:basedOn w:val="Normal"/>
    <w:link w:val="Titre2Car"/>
    <w:uiPriority w:val="9"/>
    <w:qFormat/>
    <w:rsid w:val="007C3C0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C3C0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3C0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3C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3C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3C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3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C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">
    <w:name w:val="title"/>
    <w:basedOn w:val="Policepardfaut"/>
    <w:rsid w:val="007C3C05"/>
  </w:style>
  <w:style w:type="character" w:customStyle="1" w:styleId="apple-tab-span">
    <w:name w:val="apple-tab-span"/>
    <w:basedOn w:val="Policepardfaut"/>
    <w:rsid w:val="00910BFA"/>
  </w:style>
  <w:style w:type="paragraph" w:styleId="Paragraphedeliste">
    <w:name w:val="List Paragraph"/>
    <w:basedOn w:val="Normal"/>
    <w:uiPriority w:val="34"/>
    <w:qFormat/>
    <w:rsid w:val="00910B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0BFA"/>
  </w:style>
  <w:style w:type="paragraph" w:styleId="Pieddepage">
    <w:name w:val="footer"/>
    <w:basedOn w:val="Normal"/>
    <w:link w:val="PieddepageCar"/>
    <w:uiPriority w:val="99"/>
    <w:unhideWhenUsed/>
    <w:rsid w:val="00910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038">
              <w:marLeft w:val="203"/>
              <w:marRight w:val="203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3</cp:revision>
  <dcterms:created xsi:type="dcterms:W3CDTF">2020-03-31T17:01:00Z</dcterms:created>
  <dcterms:modified xsi:type="dcterms:W3CDTF">2020-03-31T17:08:00Z</dcterms:modified>
</cp:coreProperties>
</file>