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516" w:rsidRPr="00D5215A" w:rsidRDefault="00795516" w:rsidP="00795516">
      <w:pPr>
        <w:bidi/>
        <w:spacing w:after="0"/>
        <w:jc w:val="both"/>
        <w:rPr>
          <w:rFonts w:cs="Traditional Arabic"/>
          <w:b/>
          <w:bCs/>
          <w:sz w:val="36"/>
          <w:szCs w:val="36"/>
          <w:rtl/>
          <w:lang w:bidi="ar-DZ"/>
        </w:rPr>
      </w:pPr>
      <w:r w:rsidRPr="00D5215A">
        <w:rPr>
          <w:rFonts w:cs="Traditional Arabic" w:hint="cs"/>
          <w:b/>
          <w:bCs/>
          <w:sz w:val="36"/>
          <w:szCs w:val="36"/>
          <w:rtl/>
          <w:lang w:bidi="ar-DZ"/>
        </w:rPr>
        <w:t>المحاضرة الثانية</w:t>
      </w:r>
    </w:p>
    <w:p w:rsidR="00795516" w:rsidRDefault="00795516" w:rsidP="00795516">
      <w:pPr>
        <w:bidi/>
        <w:spacing w:after="0"/>
        <w:ind w:left="-2"/>
        <w:rPr>
          <w:rFonts w:cs="Traditional Arabic"/>
          <w:b/>
          <w:bCs/>
          <w:sz w:val="36"/>
          <w:szCs w:val="36"/>
          <w:rtl/>
          <w:lang w:bidi="ar-DZ"/>
        </w:rPr>
      </w:pPr>
      <w:r>
        <w:rPr>
          <w:rFonts w:cs="Traditional Arabic" w:hint="cs"/>
          <w:b/>
          <w:bCs/>
          <w:sz w:val="36"/>
          <w:szCs w:val="36"/>
          <w:rtl/>
          <w:lang w:bidi="ar-DZ"/>
        </w:rPr>
        <w:t>4-11-مدرسة الإتنوجرافيا الجديدة</w:t>
      </w:r>
    </w:p>
    <w:p w:rsidR="00795516" w:rsidRDefault="00795516" w:rsidP="00795516">
      <w:pPr>
        <w:bidi/>
        <w:spacing w:after="0"/>
        <w:ind w:left="-2" w:firstLine="569"/>
        <w:jc w:val="both"/>
        <w:rPr>
          <w:rFonts w:cs="Traditional Arabic"/>
          <w:sz w:val="36"/>
          <w:szCs w:val="36"/>
          <w:rtl/>
          <w:lang w:bidi="ar-DZ"/>
        </w:rPr>
      </w:pPr>
      <w:r>
        <w:rPr>
          <w:rFonts w:cs="Traditional Arabic" w:hint="cs"/>
          <w:sz w:val="36"/>
          <w:szCs w:val="36"/>
          <w:rtl/>
          <w:lang w:bidi="ar-DZ"/>
        </w:rPr>
        <w:t>ظهور هذه المدرة متزامن مع المدرسة البنيوية، تشكلت على يد مجموعة من الإتنولوجيين الأمريكيين الذين قاموا بمحاولة لتأكيد عملية وموضوعية دراسة الثقافات الإنسانية، وذلك عن طريق تقديم وصف وتحليل الثقافة في إطار المفاهيم والتصورات التي لدى الأفراد ذاتهم وكما تتمثل في لغتهم. وبمعنى آخر فلكي تتحقق الموضوعية في الدراسات الإتنوجرافية لابد أن يحجم الباحث الأجنبي عن إقحام مفاهيمه واتجاهاته التحليلية وأن يترك ذلك لأصحاب تلك الثقافة أنفسهم، وقد عرف أصحاب هذا المنهج في دراسة الثقافة الإنسانية باسم "علماء دراسة الشعوب" وأصبح هدفهم الرئيس هو الكشف عن تصورات شعب معين لنمط الحياة داخل مجتمعهم، وإيضاح الأسس العقلية والأصول الثقافية التي يستندون إليها في تنظيم العلاقات الاجتماعية، ووضع قواعد السلوك، ونظم القيم</w:t>
      </w:r>
      <w:r>
        <w:rPr>
          <w:rStyle w:val="Appelnotedebasdep"/>
          <w:rFonts w:cs="Traditional Arabic"/>
          <w:sz w:val="36"/>
          <w:szCs w:val="36"/>
          <w:rtl/>
          <w:lang w:bidi="ar-DZ"/>
        </w:rPr>
        <w:footnoteReference w:id="2"/>
      </w:r>
      <w:r>
        <w:rPr>
          <w:rFonts w:cs="Traditional Arabic" w:hint="cs"/>
          <w:sz w:val="36"/>
          <w:szCs w:val="36"/>
          <w:rtl/>
          <w:lang w:bidi="ar-DZ"/>
        </w:rPr>
        <w:t>. وفي إطار هذا المنظور التحليلي، أوضحت عدة دراسات إتنولوجية كيف أن الشعوب تختلف فيما بينها من ناحية المعايير والأسس التي يصنف على أساسها الأفراد مفاهيمهم واتجاهاتهم بصدد التصنيفات المختلفة للأشياء كالألوان مثلا أو الطعام أو النبات أو الحيوان.</w:t>
      </w:r>
    </w:p>
    <w:p w:rsidR="00795516" w:rsidRDefault="00795516" w:rsidP="00795516">
      <w:pPr>
        <w:bidi/>
        <w:spacing w:after="0"/>
        <w:ind w:left="-2"/>
        <w:jc w:val="both"/>
        <w:rPr>
          <w:rFonts w:cs="Traditional Arabic"/>
          <w:sz w:val="36"/>
          <w:szCs w:val="36"/>
          <w:rtl/>
          <w:lang w:bidi="ar-DZ"/>
        </w:rPr>
      </w:pPr>
      <w:r>
        <w:rPr>
          <w:rFonts w:cs="Traditional Arabic" w:hint="cs"/>
          <w:sz w:val="36"/>
          <w:szCs w:val="36"/>
          <w:rtl/>
          <w:lang w:bidi="ar-DZ"/>
        </w:rPr>
        <w:tab/>
      </w:r>
      <w:r>
        <w:rPr>
          <w:rFonts w:cs="Traditional Arabic" w:hint="cs"/>
          <w:sz w:val="36"/>
          <w:szCs w:val="36"/>
          <w:rtl/>
          <w:lang w:bidi="ar-DZ"/>
        </w:rPr>
        <w:tab/>
        <w:t>وعلى هذا الأساس فإن أتباع الإتنوجرافيا الجديدة يميلون إلى أن تتضمن دراستهم للثقافة وصف الثقافة وتحليلها كما يراها أفراد المجتمع، لا كما ينظر إليها أو يفسرها الباحث الإتنوجرافي ذاته، وقد ارتأوا أن تحليل لغة الأهالي هي أفضل السبل لتحقيق هذا الهدف. لهذا أبدى ممثلوا هذا التيار اهتماما كبيرا بدراسة وتحليل اللغة الوطنية لمجتمعات الدراسة. وذلك لاستخراج ما في مفرداتها من مفاهيم ومضامين وما قد تحتويه من قيم وأفكار وتصورات، لا يمكن معرفتها أو التوصل إليها عن طريق ملاحظة السلوك الظاهري لأفراد المجتمع.</w:t>
      </w:r>
    </w:p>
    <w:p w:rsidR="00795516" w:rsidRDefault="00795516" w:rsidP="00795516">
      <w:pPr>
        <w:bidi/>
        <w:spacing w:after="0"/>
        <w:ind w:left="-2" w:firstLine="569"/>
        <w:jc w:val="both"/>
        <w:rPr>
          <w:rFonts w:cs="Traditional Arabic"/>
          <w:sz w:val="36"/>
          <w:szCs w:val="36"/>
          <w:rtl/>
          <w:lang w:bidi="ar-DZ"/>
        </w:rPr>
      </w:pPr>
      <w:r>
        <w:rPr>
          <w:rFonts w:cs="Traditional Arabic" w:hint="cs"/>
          <w:sz w:val="36"/>
          <w:szCs w:val="36"/>
          <w:rtl/>
          <w:lang w:bidi="ar-DZ"/>
        </w:rPr>
        <w:lastRenderedPageBreak/>
        <w:tab/>
        <w:t>وقد اهتم كذلك الإتنوجرافيون الجدد بالمعلومات التي يدلي بها الاخباريون، وإبراز السياقات والظروف التي أعطيت فيها تلك المعلومات. وفي هذا الإطار برز الاهتمام منذ بداية السبعينات وخلالها بتدوين خبرات الأنتروبولوجيين في العمل الحقلي، ونشرت عدة مؤلفات في هذا الصدد.</w:t>
      </w:r>
    </w:p>
    <w:p w:rsidR="00795516" w:rsidRDefault="00795516" w:rsidP="00795516">
      <w:pPr>
        <w:pStyle w:val="Notedebasdepage"/>
        <w:rPr>
          <w:sz w:val="24"/>
          <w:szCs w:val="24"/>
          <w:lang w:bidi="ar-DZ"/>
        </w:rPr>
      </w:pPr>
    </w:p>
    <w:p w:rsidR="00795516" w:rsidRPr="00924046" w:rsidRDefault="00795516" w:rsidP="00795516">
      <w:pPr>
        <w:pStyle w:val="Paragraphedeliste"/>
        <w:tabs>
          <w:tab w:val="left" w:pos="425"/>
        </w:tabs>
        <w:bidi/>
        <w:spacing w:after="0" w:line="240" w:lineRule="auto"/>
        <w:ind w:left="0" w:firstLine="565"/>
        <w:jc w:val="both"/>
        <w:rPr>
          <w:rFonts w:cs="Traditional Arabic"/>
          <w:sz w:val="34"/>
          <w:szCs w:val="34"/>
          <w:rtl/>
        </w:rPr>
      </w:pPr>
      <w:r w:rsidRPr="00924046">
        <w:rPr>
          <w:rFonts w:cs="Traditional Arabic" w:hint="cs"/>
          <w:b/>
          <w:bCs/>
          <w:sz w:val="34"/>
          <w:szCs w:val="34"/>
          <w:rtl/>
        </w:rPr>
        <w:t>المادية الثقافية</w:t>
      </w:r>
      <w:r w:rsidRPr="00924046">
        <w:rPr>
          <w:rFonts w:cs="Traditional Arabic" w:hint="cs"/>
          <w:sz w:val="34"/>
          <w:szCs w:val="34"/>
          <w:rtl/>
        </w:rPr>
        <w:t xml:space="preserve">: هذا التيار ظهر في الولايات المتحدة على يد أحد  الوارثين لفكر ستيوارد ألا وهو مارفين هاريس </w:t>
      </w:r>
      <w:r w:rsidRPr="00924046">
        <w:rPr>
          <w:rFonts w:cs="Traditional Arabic"/>
          <w:sz w:val="34"/>
          <w:szCs w:val="34"/>
        </w:rPr>
        <w:t>Marvin Harris</w:t>
      </w:r>
      <w:r w:rsidRPr="00924046">
        <w:rPr>
          <w:rFonts w:cs="Traditional Arabic" w:hint="cs"/>
          <w:sz w:val="34"/>
          <w:szCs w:val="34"/>
          <w:rtl/>
        </w:rPr>
        <w:t xml:space="preserve"> </w:t>
      </w:r>
      <w:r w:rsidRPr="00924046">
        <w:rPr>
          <w:rFonts w:cs="Traditional Arabic"/>
          <w:sz w:val="34"/>
          <w:szCs w:val="34"/>
        </w:rPr>
        <w:t>)</w:t>
      </w:r>
      <w:r w:rsidRPr="00924046">
        <w:rPr>
          <w:rFonts w:cs="Traditional Arabic" w:hint="cs"/>
          <w:sz w:val="34"/>
          <w:szCs w:val="34"/>
          <w:rtl/>
        </w:rPr>
        <w:t>1927-2001</w:t>
      </w:r>
      <w:r w:rsidRPr="00924046">
        <w:rPr>
          <w:rFonts w:cs="Traditional Arabic"/>
          <w:sz w:val="34"/>
          <w:szCs w:val="34"/>
        </w:rPr>
        <w:t>(</w:t>
      </w:r>
      <w:r w:rsidRPr="00924046">
        <w:rPr>
          <w:rFonts w:cs="Traditional Arabic" w:hint="cs"/>
          <w:sz w:val="34"/>
          <w:szCs w:val="34"/>
          <w:rtl/>
        </w:rPr>
        <w:t xml:space="preserve"> الذي يعتبر أحد أشهر وأكثرهم نقاشا بسبب خاصية التحول المنهجي والكاريكاتوري لمؤلفه.</w:t>
      </w:r>
    </w:p>
    <w:p w:rsidR="00795516" w:rsidRPr="00924046" w:rsidRDefault="00795516" w:rsidP="00795516">
      <w:pPr>
        <w:pStyle w:val="Paragraphedeliste"/>
        <w:tabs>
          <w:tab w:val="left" w:pos="425"/>
        </w:tabs>
        <w:bidi/>
        <w:spacing w:after="0" w:line="240" w:lineRule="auto"/>
        <w:ind w:left="0"/>
        <w:jc w:val="both"/>
        <w:rPr>
          <w:rFonts w:cs="Traditional Arabic"/>
          <w:sz w:val="34"/>
          <w:szCs w:val="34"/>
          <w:rtl/>
        </w:rPr>
      </w:pPr>
      <w:r w:rsidRPr="00924046">
        <w:rPr>
          <w:rFonts w:cs="Traditional Arabic" w:hint="cs"/>
          <w:sz w:val="34"/>
          <w:szCs w:val="34"/>
          <w:rtl/>
        </w:rPr>
        <w:tab/>
        <w:t>هاريس هو أحد الباحثين النادرين الذين ادعوا تأثير الفكر الماركسي عليهم، التزم كليا بفكرة أولية البنيات التحتية ال</w:t>
      </w:r>
      <w:r>
        <w:rPr>
          <w:rFonts w:cs="Traditional Arabic" w:hint="cs"/>
          <w:sz w:val="34"/>
          <w:szCs w:val="34"/>
          <w:rtl/>
        </w:rPr>
        <w:t>اقتصادية على البنيات الفوقية الأ</w:t>
      </w:r>
      <w:r w:rsidRPr="00924046">
        <w:rPr>
          <w:rFonts w:cs="Traditional Arabic" w:hint="cs"/>
          <w:sz w:val="34"/>
          <w:szCs w:val="34"/>
          <w:rtl/>
        </w:rPr>
        <w:t>يديولوجية. على خلاف أسلافه المشهورين دفع هاريس المصادرة مع ذلك إلى حدودها القصوى جاهدا في البرهنة على أن كل نظام إنساني مهما كان، يقود في النهاية إلى آلية موجهة لإشباع حاجات ملازمة لجسم الإنسان.</w:t>
      </w:r>
    </w:p>
    <w:p w:rsidR="00795516" w:rsidRPr="003F63A4" w:rsidRDefault="00795516" w:rsidP="00795516">
      <w:pPr>
        <w:pStyle w:val="Paragraphedeliste"/>
        <w:tabs>
          <w:tab w:val="left" w:pos="425"/>
        </w:tabs>
        <w:bidi/>
        <w:spacing w:after="0" w:line="240" w:lineRule="auto"/>
        <w:ind w:left="0"/>
        <w:jc w:val="both"/>
        <w:rPr>
          <w:rFonts w:cs="Traditional Arabic"/>
          <w:sz w:val="34"/>
          <w:szCs w:val="34"/>
          <w:rtl/>
        </w:rPr>
      </w:pPr>
      <w:r w:rsidRPr="00924046">
        <w:rPr>
          <w:rFonts w:cs="Traditional Arabic" w:hint="cs"/>
          <w:sz w:val="34"/>
          <w:szCs w:val="34"/>
          <w:rtl/>
        </w:rPr>
        <w:tab/>
      </w:r>
      <w:r w:rsidRPr="00892564">
        <w:rPr>
          <w:rFonts w:cs="Traditional Arabic" w:hint="cs"/>
          <w:sz w:val="34"/>
          <w:szCs w:val="34"/>
          <w:rtl/>
        </w:rPr>
        <w:t xml:space="preserve">كتابه الأكثر شهرة </w:t>
      </w:r>
      <w:r w:rsidRPr="00892564">
        <w:rPr>
          <w:rFonts w:cs="Traditional Arabic"/>
          <w:sz w:val="34"/>
          <w:szCs w:val="34"/>
        </w:rPr>
        <w:t>Cannibales et Monarques. Essai sur l'origine des cultures</w:t>
      </w:r>
      <w:r w:rsidRPr="00892564">
        <w:rPr>
          <w:rFonts w:cs="Traditional Arabic" w:hint="cs"/>
          <w:sz w:val="34"/>
          <w:szCs w:val="34"/>
          <w:rtl/>
        </w:rPr>
        <w:t xml:space="preserve"> وهو مجموعة مقالات مخصصة للبرهنة على أن</w:t>
      </w:r>
      <w:r w:rsidRPr="00924046">
        <w:rPr>
          <w:rFonts w:cs="Traditional Arabic" w:hint="cs"/>
          <w:sz w:val="34"/>
          <w:szCs w:val="34"/>
          <w:rtl/>
        </w:rPr>
        <w:t xml:space="preserve">ه في ضوء المادية الثقافية حتى الممارسات والمعتقدات الغريبة التي تبدو للوهلة الأولى غامضة تظهر في النهاية وبجلاء معقولة من وجهة النظر البيولوجية، </w:t>
      </w:r>
      <w:r w:rsidRPr="003F63A4">
        <w:rPr>
          <w:rFonts w:cs="Traditional Arabic" w:hint="cs"/>
          <w:sz w:val="34"/>
          <w:szCs w:val="34"/>
          <w:rtl/>
        </w:rPr>
        <w:t>الأمر إذن يتعلق بأخذ الظواهر التي تنم عن مفارقة لاسعة، ومحاولة حلها من خلال تحديث منطق تعظيم الميزات  التي يفترض أنها كامنة، والتي توجد في العمل.</w:t>
      </w:r>
    </w:p>
    <w:p w:rsidR="00795516" w:rsidRPr="00924046" w:rsidRDefault="00795516" w:rsidP="00795516">
      <w:pPr>
        <w:pStyle w:val="Paragraphedeliste"/>
        <w:tabs>
          <w:tab w:val="left" w:pos="425"/>
        </w:tabs>
        <w:bidi/>
        <w:spacing w:after="0" w:line="240" w:lineRule="auto"/>
        <w:ind w:left="0" w:firstLine="565"/>
        <w:jc w:val="both"/>
        <w:rPr>
          <w:rFonts w:cs="Traditional Arabic"/>
          <w:sz w:val="34"/>
          <w:szCs w:val="34"/>
          <w:rtl/>
        </w:rPr>
      </w:pPr>
      <w:r w:rsidRPr="003F63A4">
        <w:rPr>
          <w:rFonts w:cs="Traditional Arabic" w:hint="cs"/>
          <w:sz w:val="34"/>
          <w:szCs w:val="34"/>
          <w:rtl/>
        </w:rPr>
        <w:t>هكذا فإن نظام البقرة المقدسة التي يحرم</w:t>
      </w:r>
      <w:r w:rsidRPr="00924046">
        <w:rPr>
          <w:rFonts w:cs="Traditional Arabic" w:hint="cs"/>
          <w:sz w:val="34"/>
          <w:szCs w:val="34"/>
          <w:rtl/>
        </w:rPr>
        <w:t xml:space="preserve"> أكلها في الهند مع أن هناك فترات من المجاعة يفسر بالفائدة العالمية لروث وحليب تلك الحيوانات التي تترك حية، ظواهر أخرى متنوعة مثل الأضحية لدى الأزتيك، قتل الفتيات الصغيرات عند شعب الياهومامي أو بالإضافة إلى تحريم لحم الخنزير في الشرق الأوسط. كل تلك الظواهر تفسر على أنها مبادئ بيئية في القيم الثقافية، وعادة ما تهدف إلى زيادة البرو</w:t>
      </w:r>
      <w:r>
        <w:rPr>
          <w:rFonts w:cs="Traditional Arabic" w:hint="cs"/>
          <w:sz w:val="34"/>
          <w:szCs w:val="34"/>
          <w:rtl/>
        </w:rPr>
        <w:t>ت</w:t>
      </w:r>
      <w:r w:rsidRPr="00924046">
        <w:rPr>
          <w:rFonts w:cs="Traditional Arabic" w:hint="cs"/>
          <w:sz w:val="34"/>
          <w:szCs w:val="34"/>
          <w:rtl/>
        </w:rPr>
        <w:t xml:space="preserve">ين. </w:t>
      </w:r>
    </w:p>
    <w:p w:rsidR="00795516" w:rsidRPr="00924046" w:rsidRDefault="00795516" w:rsidP="00795516">
      <w:pPr>
        <w:pStyle w:val="Paragraphedeliste"/>
        <w:tabs>
          <w:tab w:val="left" w:pos="425"/>
        </w:tabs>
        <w:bidi/>
        <w:spacing w:after="0" w:line="240" w:lineRule="auto"/>
        <w:ind w:left="0"/>
        <w:jc w:val="both"/>
        <w:rPr>
          <w:rFonts w:cs="Traditional Arabic"/>
          <w:sz w:val="34"/>
          <w:szCs w:val="34"/>
          <w:rtl/>
        </w:rPr>
      </w:pPr>
      <w:r w:rsidRPr="00924046">
        <w:rPr>
          <w:rFonts w:cs="Traditional Arabic" w:hint="cs"/>
          <w:sz w:val="34"/>
          <w:szCs w:val="34"/>
          <w:rtl/>
        </w:rPr>
        <w:tab/>
        <w:t>بالرغم من (أو ربما بسبب) خاصيتها التبسيطية فإن أفكار هاريس اكتسبت جمهورًا عريضا في الولايات المتحدة، الأيكولووجيا التخمينية التي استندت إليها بلغت مع ذلك مستوى من التجريد والعمومية إلى درجة أنها آلت إلى فقدان خاصيتها التفسيرية الجادة.</w:t>
      </w:r>
    </w:p>
    <w:p w:rsidR="00795516" w:rsidRPr="00924046" w:rsidRDefault="00795516" w:rsidP="00795516">
      <w:pPr>
        <w:pStyle w:val="Corpsdetexte"/>
        <w:bidi/>
        <w:spacing w:line="240" w:lineRule="auto"/>
        <w:ind w:firstLine="565"/>
        <w:jc w:val="both"/>
        <w:rPr>
          <w:rFonts w:cs="Traditional Arabic"/>
          <w:sz w:val="34"/>
          <w:szCs w:val="34"/>
          <w:rtl/>
        </w:rPr>
      </w:pPr>
      <w:r>
        <w:rPr>
          <w:rFonts w:cs="Traditional Arabic" w:hint="cs"/>
          <w:b/>
          <w:bCs/>
          <w:sz w:val="34"/>
          <w:szCs w:val="34"/>
          <w:rtl/>
        </w:rPr>
        <w:t>3-4-2-</w:t>
      </w:r>
      <w:r w:rsidRPr="00924046">
        <w:rPr>
          <w:rFonts w:cs="Traditional Arabic" w:hint="cs"/>
          <w:b/>
          <w:bCs/>
          <w:sz w:val="34"/>
          <w:szCs w:val="34"/>
          <w:rtl/>
        </w:rPr>
        <w:t xml:space="preserve">السوسيوبيولوجيا: </w:t>
      </w:r>
      <w:r w:rsidRPr="00924046">
        <w:rPr>
          <w:rFonts w:cs="Traditional Arabic" w:hint="cs"/>
          <w:sz w:val="34"/>
          <w:szCs w:val="34"/>
          <w:rtl/>
        </w:rPr>
        <w:t xml:space="preserve">مؤسس السوسيوبيولوجيا إدوارد ويلسون المتخصص في دراسة النمل </w:t>
      </w:r>
      <w:r w:rsidRPr="00924046">
        <w:rPr>
          <w:rFonts w:cs="Traditional Arabic"/>
          <w:sz w:val="34"/>
          <w:szCs w:val="34"/>
        </w:rPr>
        <w:t>Myrmécologue</w:t>
      </w:r>
      <w:r w:rsidRPr="00924046">
        <w:rPr>
          <w:rFonts w:cs="Traditional Arabic" w:hint="cs"/>
          <w:sz w:val="34"/>
          <w:szCs w:val="34"/>
          <w:rtl/>
        </w:rPr>
        <w:t xml:space="preserve"> </w:t>
      </w:r>
      <w:r>
        <w:rPr>
          <w:rFonts w:cs="Traditional Arabic" w:hint="cs"/>
          <w:sz w:val="34"/>
          <w:szCs w:val="34"/>
          <w:rtl/>
        </w:rPr>
        <w:t>ي</w:t>
      </w:r>
      <w:r w:rsidRPr="00924046">
        <w:rPr>
          <w:rFonts w:cs="Traditional Arabic" w:hint="cs"/>
          <w:sz w:val="34"/>
          <w:szCs w:val="34"/>
          <w:rtl/>
        </w:rPr>
        <w:t xml:space="preserve">تقاسم مع مارفين هاريس بعض التوجه نحو النفعية الراديكالية والمادية المدفوعة إلى أقصى الحدود. باحثو هذا التيار ينطلقون من مسلمة أن سلوك البشر يجب، مثله مثل سلوك الحيوانات، </w:t>
      </w:r>
      <w:r w:rsidRPr="00924046">
        <w:rPr>
          <w:rFonts w:cs="Traditional Arabic" w:hint="cs"/>
          <w:sz w:val="34"/>
          <w:szCs w:val="34"/>
          <w:rtl/>
        </w:rPr>
        <w:lastRenderedPageBreak/>
        <w:t>أن ينظر إليه من زاوية الانتخاب الطبيعي. لقد أولوا أهمية كبيرة إلى تأثير الظواهر الثقافية على انتقال الجينات، هذا (بدلا من الثقافة) ما يكون موضوع دراستهم.</w:t>
      </w:r>
    </w:p>
    <w:p w:rsidR="00795516" w:rsidRPr="00924046" w:rsidRDefault="00795516" w:rsidP="00795516">
      <w:pPr>
        <w:pStyle w:val="Corpsdetexte"/>
        <w:bidi/>
        <w:spacing w:line="240" w:lineRule="auto"/>
        <w:ind w:firstLine="565"/>
        <w:jc w:val="both"/>
        <w:rPr>
          <w:rFonts w:cs="Traditional Arabic"/>
          <w:sz w:val="34"/>
          <w:szCs w:val="34"/>
          <w:rtl/>
        </w:rPr>
      </w:pPr>
      <w:r w:rsidRPr="00924046">
        <w:rPr>
          <w:rFonts w:cs="Traditional Arabic" w:hint="cs"/>
          <w:sz w:val="34"/>
          <w:szCs w:val="34"/>
          <w:rtl/>
        </w:rPr>
        <w:t>على العكس من الأطروحات الداروينية التي بالنسبة لها الوحدة الوراثية للتكيف هي مجموعة الكائنات الحية مكونة تجمعا من أجل التكاثر. السوسيوبيولوجيا تتصور التكيف من وجهة نظر الفرد أو بالأخرى جيناته. يتعلق الأمر إذن بدراسة ما يمكن فردًا من تعظيم ميزته التكاثرية على حساب أمثاله، بدلا من الاهتمام بفائدة ما يمكن هذا السلوك أو ذاك من إضفائها إلى سلم التنافس بين أنواع أو بين جماعات.</w:t>
      </w:r>
      <w:r w:rsidRPr="00924046">
        <w:rPr>
          <w:rStyle w:val="Appelnotedebasdep"/>
          <w:rFonts w:cs="Traditional Arabic"/>
          <w:sz w:val="34"/>
          <w:szCs w:val="34"/>
          <w:rtl/>
        </w:rPr>
        <w:footnoteReference w:id="3"/>
      </w:r>
    </w:p>
    <w:p w:rsidR="00795516" w:rsidRDefault="00795516" w:rsidP="00795516">
      <w:pPr>
        <w:rPr>
          <w:lang w:bidi="ar-DZ"/>
        </w:rPr>
      </w:pPr>
    </w:p>
    <w:p w:rsidR="00EA2DAE" w:rsidRDefault="00EA2DAE"/>
    <w:sectPr w:rsidR="00EA2DAE" w:rsidSect="005A14F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910" w:rsidRDefault="000D5910" w:rsidP="00795516">
      <w:pPr>
        <w:spacing w:after="0" w:line="240" w:lineRule="auto"/>
      </w:pPr>
      <w:r>
        <w:separator/>
      </w:r>
    </w:p>
  </w:endnote>
  <w:endnote w:type="continuationSeparator" w:id="1">
    <w:p w:rsidR="000D5910" w:rsidRDefault="000D5910" w:rsidP="00795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910" w:rsidRDefault="000D5910" w:rsidP="00795516">
      <w:pPr>
        <w:spacing w:after="0" w:line="240" w:lineRule="auto"/>
      </w:pPr>
      <w:r>
        <w:separator/>
      </w:r>
    </w:p>
  </w:footnote>
  <w:footnote w:type="continuationSeparator" w:id="1">
    <w:p w:rsidR="000D5910" w:rsidRDefault="000D5910" w:rsidP="00795516">
      <w:pPr>
        <w:spacing w:after="0" w:line="240" w:lineRule="auto"/>
      </w:pPr>
      <w:r>
        <w:continuationSeparator/>
      </w:r>
    </w:p>
  </w:footnote>
  <w:footnote w:id="2">
    <w:p w:rsidR="00795516" w:rsidRPr="00133F44" w:rsidRDefault="00795516" w:rsidP="00795516">
      <w:pPr>
        <w:pStyle w:val="Notedebasdepage"/>
        <w:rPr>
          <w:sz w:val="24"/>
          <w:szCs w:val="24"/>
          <w:rtl/>
          <w:lang w:bidi="ar-DZ"/>
        </w:rPr>
      </w:pPr>
      <w:r>
        <w:rPr>
          <w:rStyle w:val="Appelnotedebasdep"/>
        </w:rPr>
        <w:footnoteRef/>
      </w:r>
      <w:r>
        <w:t xml:space="preserve"> </w:t>
      </w:r>
      <w:r>
        <w:rPr>
          <w:rFonts w:hint="cs"/>
          <w:rtl/>
          <w:lang w:bidi="ar-DZ"/>
        </w:rPr>
        <w:t xml:space="preserve">- </w:t>
      </w:r>
      <w:r w:rsidRPr="00133F44">
        <w:rPr>
          <w:rFonts w:hint="cs"/>
          <w:sz w:val="24"/>
          <w:szCs w:val="24"/>
          <w:rtl/>
          <w:lang w:bidi="ar-DZ"/>
        </w:rPr>
        <w:t>حسين فه</w:t>
      </w:r>
      <w:r>
        <w:rPr>
          <w:rFonts w:hint="cs"/>
          <w:sz w:val="24"/>
          <w:szCs w:val="24"/>
          <w:rtl/>
          <w:lang w:bidi="ar-DZ"/>
        </w:rPr>
        <w:t>ي</w:t>
      </w:r>
      <w:r w:rsidRPr="00133F44">
        <w:rPr>
          <w:rFonts w:hint="cs"/>
          <w:sz w:val="24"/>
          <w:szCs w:val="24"/>
          <w:rtl/>
          <w:lang w:bidi="ar-DZ"/>
        </w:rPr>
        <w:t xml:space="preserve">م، </w:t>
      </w:r>
      <w:r w:rsidRPr="00133F44">
        <w:rPr>
          <w:rFonts w:hint="cs"/>
          <w:b/>
          <w:bCs/>
          <w:sz w:val="24"/>
          <w:szCs w:val="24"/>
          <w:rtl/>
          <w:lang w:bidi="ar-DZ"/>
        </w:rPr>
        <w:t>قصة الأنثروبولوجيا</w:t>
      </w:r>
      <w:r w:rsidRPr="00133F44">
        <w:rPr>
          <w:rFonts w:hint="cs"/>
          <w:sz w:val="24"/>
          <w:szCs w:val="24"/>
          <w:rtl/>
          <w:lang w:bidi="ar-DZ"/>
        </w:rPr>
        <w:t>، مرجع سابق، ص-ص: 80-81.</w:t>
      </w:r>
    </w:p>
  </w:footnote>
  <w:footnote w:id="3">
    <w:p w:rsidR="00795516" w:rsidRPr="00CA5D0F" w:rsidRDefault="00795516" w:rsidP="00795516">
      <w:pPr>
        <w:pStyle w:val="Notedebasdepage"/>
        <w:rPr>
          <w:rFonts w:cs="Traditional Arabic"/>
          <w:sz w:val="28"/>
          <w:szCs w:val="28"/>
          <w:rtl/>
        </w:rPr>
      </w:pPr>
      <w:r w:rsidRPr="00CA5D0F">
        <w:rPr>
          <w:rStyle w:val="Appelnotedebasdep"/>
          <w:rFonts w:cs="Traditional Arabic"/>
          <w:sz w:val="28"/>
          <w:szCs w:val="28"/>
        </w:rPr>
        <w:footnoteRef/>
      </w:r>
      <w:r w:rsidRPr="00744295">
        <w:rPr>
          <w:rFonts w:cs="Traditional Arabic"/>
          <w:sz w:val="28"/>
          <w:szCs w:val="28"/>
          <w:lang w:val="en-US"/>
        </w:rPr>
        <w:t xml:space="preserve"> -</w:t>
      </w:r>
      <w:r w:rsidRPr="0031534A">
        <w:rPr>
          <w:rFonts w:cs="Traditional Arabic"/>
          <w:b/>
          <w:bCs/>
          <w:sz w:val="28"/>
          <w:szCs w:val="28"/>
          <w:lang w:val="en-US"/>
        </w:rPr>
        <w:t>Ibid</w:t>
      </w:r>
      <w:r>
        <w:rPr>
          <w:rFonts w:cs="Traditional Arabic" w:hint="cs"/>
          <w:b/>
          <w:bCs/>
          <w:sz w:val="28"/>
          <w:szCs w:val="28"/>
          <w:rtl/>
          <w:lang w:val="en-US"/>
        </w:rPr>
        <w:t>.</w:t>
      </w:r>
      <w:r w:rsidRPr="00744295">
        <w:rPr>
          <w:rFonts w:cs="Traditional Arabic"/>
          <w:sz w:val="28"/>
          <w:szCs w:val="28"/>
          <w:lang w:val="en-US"/>
        </w:rPr>
        <w:t>, p. 123.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hyphenationZone w:val="425"/>
  <w:characterSpacingControl w:val="doNotCompress"/>
  <w:footnotePr>
    <w:footnote w:id="0"/>
    <w:footnote w:id="1"/>
  </w:footnotePr>
  <w:endnotePr>
    <w:endnote w:id="0"/>
    <w:endnote w:id="1"/>
  </w:endnotePr>
  <w:compat>
    <w:useFELayout/>
  </w:compat>
  <w:rsids>
    <w:rsidRoot w:val="00795516"/>
    <w:rsid w:val="000D5910"/>
    <w:rsid w:val="00795516"/>
    <w:rsid w:val="00EA2DAE"/>
  </w:rsids>
  <m:mathPr>
    <m:mathFont m:val="Cambria Math"/>
    <m:brkBin m:val="before"/>
    <m:brkBinSub m:val="--"/>
    <m:smallFrac m:val="off"/>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516"/>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795516"/>
    <w:pPr>
      <w:bidi/>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rsid w:val="00795516"/>
    <w:rPr>
      <w:rFonts w:ascii="Calibri" w:eastAsia="Calibri" w:hAnsi="Calibri" w:cs="Arial"/>
      <w:sz w:val="20"/>
      <w:szCs w:val="20"/>
      <w:lang w:eastAsia="en-US"/>
    </w:rPr>
  </w:style>
  <w:style w:type="character" w:styleId="Appelnotedebasdep">
    <w:name w:val="footnote reference"/>
    <w:basedOn w:val="Policepardfaut"/>
    <w:uiPriority w:val="99"/>
    <w:semiHidden/>
    <w:unhideWhenUsed/>
    <w:rsid w:val="00795516"/>
    <w:rPr>
      <w:vertAlign w:val="superscript"/>
    </w:rPr>
  </w:style>
  <w:style w:type="paragraph" w:styleId="Paragraphedeliste">
    <w:name w:val="List Paragraph"/>
    <w:basedOn w:val="Normal"/>
    <w:uiPriority w:val="34"/>
    <w:qFormat/>
    <w:rsid w:val="00795516"/>
    <w:pPr>
      <w:ind w:left="720"/>
      <w:contextualSpacing/>
    </w:pPr>
    <w:rPr>
      <w:rFonts w:ascii="Calibri" w:eastAsia="PMingLiU" w:hAnsi="Calibri" w:cs="Arial"/>
      <w:lang w:bidi="ar-DZ"/>
    </w:rPr>
  </w:style>
  <w:style w:type="paragraph" w:styleId="Corpsdetexte">
    <w:name w:val="Body Text"/>
    <w:basedOn w:val="Normal"/>
    <w:link w:val="CorpsdetexteCar"/>
    <w:uiPriority w:val="99"/>
    <w:unhideWhenUsed/>
    <w:rsid w:val="00795516"/>
    <w:pPr>
      <w:spacing w:after="120"/>
    </w:pPr>
    <w:rPr>
      <w:rFonts w:ascii="Calibri" w:eastAsia="PMingLiU" w:hAnsi="Calibri" w:cs="Arial"/>
      <w:lang w:bidi="ar-DZ"/>
    </w:rPr>
  </w:style>
  <w:style w:type="character" w:customStyle="1" w:styleId="CorpsdetexteCar">
    <w:name w:val="Corps de texte Car"/>
    <w:basedOn w:val="Policepardfaut"/>
    <w:link w:val="Corpsdetexte"/>
    <w:uiPriority w:val="99"/>
    <w:rsid w:val="00795516"/>
    <w:rPr>
      <w:rFonts w:ascii="Calibri" w:eastAsia="PMingLiU" w:hAnsi="Calibri" w:cs="Arial"/>
      <w:lang w:eastAsia="en-US"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3484</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dc:creator>
  <cp:lastModifiedBy>aze</cp:lastModifiedBy>
  <cp:revision>1</cp:revision>
  <dcterms:created xsi:type="dcterms:W3CDTF">2020-05-05T11:59:00Z</dcterms:created>
  <dcterms:modified xsi:type="dcterms:W3CDTF">2020-05-05T11:59:00Z</dcterms:modified>
</cp:coreProperties>
</file>