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61D" w:rsidRPr="00A61FF9" w:rsidRDefault="005C068A" w:rsidP="007438B2">
      <w:pPr>
        <w:spacing w:before="100" w:beforeAutospacing="1" w:after="100" w:afterAutospacing="1" w:line="240" w:lineRule="auto"/>
        <w:rPr>
          <w:rFonts w:ascii="Times New Roman" w:eastAsia="Times New Roman" w:hAnsi="Times New Roman" w:cs="Times New Roman"/>
          <w:sz w:val="24"/>
          <w:szCs w:val="24"/>
          <w:lang w:eastAsia="fr-CA"/>
        </w:rPr>
      </w:pPr>
      <w:r w:rsidRPr="00A61FF9">
        <w:rPr>
          <w:rFonts w:ascii="Times New Roman" w:eastAsia="Times New Roman" w:hAnsi="Times New Roman" w:cs="Times New Roman"/>
          <w:b/>
          <w:bCs/>
          <w:sz w:val="24"/>
          <w:szCs w:val="24"/>
          <w:lang w:eastAsia="fr-CA"/>
        </w:rPr>
        <w:t>Introduction</w:t>
      </w:r>
      <w:r w:rsidR="00CF7ADC" w:rsidRPr="00A61FF9">
        <w:rPr>
          <w:rFonts w:ascii="Times New Roman" w:eastAsia="Times New Roman" w:hAnsi="Times New Roman" w:cs="Times New Roman"/>
          <w:sz w:val="24"/>
          <w:szCs w:val="24"/>
          <w:lang w:eastAsia="fr-CA"/>
        </w:rPr>
        <w:br/>
        <w:t>L’homme a toujours essayé de</w:t>
      </w:r>
      <w:r w:rsidR="0079361D" w:rsidRPr="00A61FF9">
        <w:rPr>
          <w:rFonts w:ascii="Times New Roman" w:eastAsia="Times New Roman" w:hAnsi="Times New Roman" w:cs="Times New Roman"/>
          <w:sz w:val="24"/>
          <w:szCs w:val="24"/>
          <w:lang w:eastAsia="fr-CA"/>
        </w:rPr>
        <w:t xml:space="preserve"> lutter contre les maladies</w:t>
      </w:r>
      <w:r w:rsidR="007438B2" w:rsidRPr="00A61FF9">
        <w:rPr>
          <w:rFonts w:ascii="Times New Roman" w:eastAsia="Times New Roman" w:hAnsi="Times New Roman" w:cs="Times New Roman"/>
          <w:sz w:val="24"/>
          <w:szCs w:val="24"/>
          <w:lang w:eastAsia="fr-CA"/>
        </w:rPr>
        <w:t xml:space="preserve"> qui</w:t>
      </w:r>
      <w:r w:rsidR="00CF7ADC" w:rsidRPr="00A61FF9">
        <w:rPr>
          <w:rFonts w:ascii="Times New Roman" w:eastAsia="Times New Roman" w:hAnsi="Times New Roman" w:cs="Times New Roman"/>
          <w:sz w:val="24"/>
          <w:szCs w:val="24"/>
          <w:lang w:eastAsia="fr-CA"/>
        </w:rPr>
        <w:t xml:space="preserve"> infectent les humains, les cultures ou les</w:t>
      </w:r>
      <w:r w:rsidR="002458F4" w:rsidRPr="00A61FF9">
        <w:rPr>
          <w:rFonts w:ascii="Times New Roman" w:eastAsia="Times New Roman" w:hAnsi="Times New Roman" w:cs="Times New Roman"/>
          <w:sz w:val="24"/>
          <w:szCs w:val="24"/>
          <w:lang w:eastAsia="fr-CA"/>
        </w:rPr>
        <w:t xml:space="preserve"> animaux domestiques</w:t>
      </w:r>
      <w:r w:rsidR="00CF7ADC" w:rsidRPr="00A61FF9">
        <w:rPr>
          <w:rFonts w:ascii="Times New Roman" w:eastAsia="Times New Roman" w:hAnsi="Times New Roman" w:cs="Times New Roman"/>
          <w:sz w:val="24"/>
          <w:szCs w:val="24"/>
          <w:lang w:eastAsia="fr-CA"/>
        </w:rPr>
        <w:t xml:space="preserve">, en essayons de connaitre  </w:t>
      </w:r>
      <w:r w:rsidR="0079361D" w:rsidRPr="00A61FF9">
        <w:rPr>
          <w:rFonts w:ascii="Times New Roman" w:eastAsia="Times New Roman" w:hAnsi="Times New Roman" w:cs="Times New Roman"/>
          <w:sz w:val="24"/>
          <w:szCs w:val="24"/>
          <w:lang w:eastAsia="fr-CA"/>
        </w:rPr>
        <w:t xml:space="preserve"> l’origine et de la transmission de ces maladies. </w:t>
      </w:r>
      <w:r w:rsidR="007438B2" w:rsidRPr="00A61FF9">
        <w:rPr>
          <w:rFonts w:ascii="Times New Roman" w:eastAsia="Times New Roman" w:hAnsi="Times New Roman" w:cs="Times New Roman"/>
          <w:sz w:val="24"/>
          <w:szCs w:val="24"/>
          <w:lang w:eastAsia="fr-CA"/>
        </w:rPr>
        <w:t xml:space="preserve">L’épidémiologie science qui </w:t>
      </w:r>
      <w:r w:rsidR="0079361D" w:rsidRPr="00A61FF9">
        <w:rPr>
          <w:rFonts w:ascii="Times New Roman" w:eastAsia="Times New Roman" w:hAnsi="Times New Roman" w:cs="Times New Roman"/>
          <w:sz w:val="24"/>
          <w:szCs w:val="24"/>
          <w:lang w:eastAsia="fr-CA"/>
        </w:rPr>
        <w:t>étud</w:t>
      </w:r>
      <w:r w:rsidR="007438B2" w:rsidRPr="00A61FF9">
        <w:rPr>
          <w:rFonts w:ascii="Times New Roman" w:eastAsia="Times New Roman" w:hAnsi="Times New Roman" w:cs="Times New Roman"/>
          <w:sz w:val="24"/>
          <w:szCs w:val="24"/>
          <w:lang w:eastAsia="fr-CA"/>
        </w:rPr>
        <w:t>i</w:t>
      </w:r>
      <w:r w:rsidR="0079361D" w:rsidRPr="00A61FF9">
        <w:rPr>
          <w:rFonts w:ascii="Times New Roman" w:eastAsia="Times New Roman" w:hAnsi="Times New Roman" w:cs="Times New Roman"/>
          <w:sz w:val="24"/>
          <w:szCs w:val="24"/>
          <w:lang w:eastAsia="fr-CA"/>
        </w:rPr>
        <w:t>e de la transmission des maladies</w:t>
      </w:r>
      <w:proofErr w:type="gramStart"/>
      <w:r w:rsidR="0079361D" w:rsidRPr="00A61FF9">
        <w:rPr>
          <w:rFonts w:ascii="Times New Roman" w:eastAsia="Times New Roman" w:hAnsi="Times New Roman" w:cs="Times New Roman"/>
          <w:sz w:val="24"/>
          <w:szCs w:val="24"/>
          <w:lang w:eastAsia="fr-CA"/>
        </w:rPr>
        <w:t>,.</w:t>
      </w:r>
      <w:proofErr w:type="gramEnd"/>
      <w:r w:rsidR="0079361D" w:rsidRPr="00A61FF9">
        <w:rPr>
          <w:rFonts w:ascii="Times New Roman" w:eastAsia="Times New Roman" w:hAnsi="Times New Roman" w:cs="Times New Roman"/>
          <w:sz w:val="24"/>
          <w:szCs w:val="24"/>
          <w:lang w:eastAsia="fr-CA"/>
        </w:rPr>
        <w:t xml:space="preserve"> Le développement</w:t>
      </w:r>
      <w:r w:rsidR="007438B2" w:rsidRPr="00A61FF9">
        <w:rPr>
          <w:rFonts w:ascii="Times New Roman" w:eastAsia="Times New Roman" w:hAnsi="Times New Roman" w:cs="Times New Roman"/>
          <w:sz w:val="24"/>
          <w:szCs w:val="24"/>
          <w:lang w:eastAsia="fr-CA"/>
        </w:rPr>
        <w:t xml:space="preserve"> de la biotechnologie,</w:t>
      </w:r>
      <w:r w:rsidR="0079361D" w:rsidRPr="00A61FF9">
        <w:rPr>
          <w:rFonts w:ascii="Times New Roman" w:eastAsia="Times New Roman" w:hAnsi="Times New Roman" w:cs="Times New Roman"/>
          <w:sz w:val="24"/>
          <w:szCs w:val="24"/>
          <w:lang w:eastAsia="fr-CA"/>
        </w:rPr>
        <w:t xml:space="preserve"> de l’infor</w:t>
      </w:r>
      <w:r w:rsidR="00CF7ADC" w:rsidRPr="00A61FF9">
        <w:rPr>
          <w:rFonts w:ascii="Times New Roman" w:eastAsia="Times New Roman" w:hAnsi="Times New Roman" w:cs="Times New Roman"/>
          <w:sz w:val="24"/>
          <w:szCs w:val="24"/>
          <w:lang w:eastAsia="fr-CA"/>
        </w:rPr>
        <w:t>matique,</w:t>
      </w:r>
      <w:r w:rsidR="007438B2" w:rsidRPr="00A61FF9">
        <w:rPr>
          <w:rFonts w:ascii="Times New Roman" w:eastAsia="Times New Roman" w:hAnsi="Times New Roman" w:cs="Times New Roman"/>
          <w:sz w:val="24"/>
          <w:szCs w:val="24"/>
          <w:lang w:eastAsia="fr-CA"/>
        </w:rPr>
        <w:t xml:space="preserve"> </w:t>
      </w:r>
      <w:r w:rsidR="0079361D" w:rsidRPr="00A61FF9">
        <w:rPr>
          <w:rFonts w:ascii="Times New Roman" w:eastAsia="Times New Roman" w:hAnsi="Times New Roman" w:cs="Times New Roman"/>
          <w:sz w:val="24"/>
          <w:szCs w:val="24"/>
          <w:lang w:eastAsia="fr-CA"/>
        </w:rPr>
        <w:t xml:space="preserve"> ont permis un développement rapide de l’épidémiologie dans le domaine animal</w:t>
      </w:r>
      <w:r w:rsidR="007438B2" w:rsidRPr="00A61FF9">
        <w:rPr>
          <w:rFonts w:ascii="Times New Roman" w:eastAsia="Times New Roman" w:hAnsi="Times New Roman" w:cs="Times New Roman"/>
          <w:sz w:val="24"/>
          <w:szCs w:val="24"/>
          <w:lang w:eastAsia="fr-CA"/>
        </w:rPr>
        <w:t>/humain</w:t>
      </w:r>
      <w:r w:rsidR="0079361D" w:rsidRPr="00A61FF9">
        <w:rPr>
          <w:rFonts w:ascii="Times New Roman" w:eastAsia="Times New Roman" w:hAnsi="Times New Roman" w:cs="Times New Roman"/>
          <w:sz w:val="24"/>
          <w:szCs w:val="24"/>
          <w:lang w:eastAsia="fr-CA"/>
        </w:rPr>
        <w:t xml:space="preserve"> et végétal au cours des décennies passées.</w:t>
      </w:r>
    </w:p>
    <w:p w:rsidR="003B3EF0" w:rsidRDefault="00CF7ADC" w:rsidP="003B3EF0">
      <w:pPr>
        <w:spacing w:before="100" w:beforeAutospacing="1" w:after="100" w:afterAutospacing="1" w:line="240" w:lineRule="auto"/>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Les progrès</w:t>
      </w:r>
      <w:r w:rsidR="0079361D" w:rsidRPr="00A61FF9">
        <w:rPr>
          <w:rFonts w:ascii="Times New Roman" w:eastAsia="Times New Roman" w:hAnsi="Times New Roman" w:cs="Times New Roman"/>
          <w:sz w:val="24"/>
          <w:szCs w:val="24"/>
          <w:lang w:eastAsia="fr-CA"/>
        </w:rPr>
        <w:t xml:space="preserve"> d</w:t>
      </w:r>
      <w:r w:rsidRPr="00A61FF9">
        <w:rPr>
          <w:rFonts w:ascii="Times New Roman" w:eastAsia="Times New Roman" w:hAnsi="Times New Roman" w:cs="Times New Roman"/>
          <w:sz w:val="24"/>
          <w:szCs w:val="24"/>
          <w:lang w:eastAsia="fr-CA"/>
        </w:rPr>
        <w:t>e l’agriculture moderne a</w:t>
      </w:r>
      <w:r w:rsidR="005C068A" w:rsidRPr="00A61FF9">
        <w:rPr>
          <w:rFonts w:ascii="Times New Roman" w:eastAsia="Times New Roman" w:hAnsi="Times New Roman" w:cs="Times New Roman"/>
          <w:sz w:val="24"/>
          <w:szCs w:val="24"/>
          <w:lang w:eastAsia="fr-CA"/>
        </w:rPr>
        <w:t xml:space="preserve"> </w:t>
      </w:r>
      <w:r w:rsidR="0079361D" w:rsidRPr="00A61FF9">
        <w:rPr>
          <w:rFonts w:ascii="Times New Roman" w:eastAsia="Times New Roman" w:hAnsi="Times New Roman" w:cs="Times New Roman"/>
          <w:sz w:val="24"/>
          <w:szCs w:val="24"/>
          <w:lang w:eastAsia="fr-CA"/>
        </w:rPr>
        <w:t xml:space="preserve"> permis d’accéder à l’autosuffisance alimentai</w:t>
      </w:r>
      <w:r w:rsidRPr="00A61FF9">
        <w:rPr>
          <w:rFonts w:ascii="Times New Roman" w:eastAsia="Times New Roman" w:hAnsi="Times New Roman" w:cs="Times New Roman"/>
          <w:sz w:val="24"/>
          <w:szCs w:val="24"/>
          <w:lang w:eastAsia="fr-CA"/>
        </w:rPr>
        <w:t>re pendant les années 70/80</w:t>
      </w:r>
      <w:r w:rsidR="0079361D" w:rsidRPr="00A61FF9">
        <w:rPr>
          <w:rFonts w:ascii="Times New Roman" w:eastAsia="Times New Roman" w:hAnsi="Times New Roman" w:cs="Times New Roman"/>
          <w:sz w:val="24"/>
          <w:szCs w:val="24"/>
          <w:lang w:eastAsia="fr-CA"/>
        </w:rPr>
        <w:t>, puis à des excédents c</w:t>
      </w:r>
      <w:r w:rsidRPr="00A61FF9">
        <w:rPr>
          <w:rFonts w:ascii="Times New Roman" w:eastAsia="Times New Roman" w:hAnsi="Times New Roman" w:cs="Times New Roman"/>
          <w:sz w:val="24"/>
          <w:szCs w:val="24"/>
          <w:lang w:eastAsia="fr-CA"/>
        </w:rPr>
        <w:t>ommerciaux, mais en même temps ils ont conduit  au développement de</w:t>
      </w:r>
      <w:r w:rsidR="0079361D" w:rsidRPr="00A61FF9">
        <w:rPr>
          <w:rFonts w:ascii="Times New Roman" w:eastAsia="Times New Roman" w:hAnsi="Times New Roman" w:cs="Times New Roman"/>
          <w:sz w:val="24"/>
          <w:szCs w:val="24"/>
          <w:lang w:eastAsia="fr-CA"/>
        </w:rPr>
        <w:t xml:space="preserve"> maladies parasitaires.</w:t>
      </w:r>
    </w:p>
    <w:p w:rsidR="0079361D" w:rsidRPr="00A61FF9" w:rsidRDefault="0079361D" w:rsidP="003B3EF0">
      <w:pPr>
        <w:spacing w:before="100" w:beforeAutospacing="1" w:after="100" w:afterAutospacing="1" w:line="240" w:lineRule="auto"/>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br/>
        <w:t>L’épidémiol</w:t>
      </w:r>
      <w:r w:rsidR="005C068A" w:rsidRPr="00A61FF9">
        <w:rPr>
          <w:rFonts w:ascii="Times New Roman" w:eastAsia="Times New Roman" w:hAnsi="Times New Roman" w:cs="Times New Roman"/>
          <w:sz w:val="24"/>
          <w:szCs w:val="24"/>
          <w:lang w:eastAsia="fr-CA"/>
        </w:rPr>
        <w:t>ogie végétale était  un  problème sanitaire</w:t>
      </w:r>
      <w:r w:rsidR="00C81A57" w:rsidRPr="00A61FF9">
        <w:rPr>
          <w:rFonts w:ascii="Times New Roman" w:eastAsia="Times New Roman" w:hAnsi="Times New Roman" w:cs="Times New Roman"/>
          <w:sz w:val="24"/>
          <w:szCs w:val="24"/>
          <w:lang w:eastAsia="fr-CA"/>
        </w:rPr>
        <w:t xml:space="preserve"> plus au moins </w:t>
      </w:r>
      <w:r w:rsidRPr="00A61FF9">
        <w:rPr>
          <w:rFonts w:ascii="Times New Roman" w:eastAsia="Times New Roman" w:hAnsi="Times New Roman" w:cs="Times New Roman"/>
          <w:sz w:val="24"/>
          <w:szCs w:val="24"/>
          <w:lang w:eastAsia="fr-CA"/>
        </w:rPr>
        <w:t xml:space="preserve"> maîtrisa</w:t>
      </w:r>
      <w:r w:rsidR="00C81A57" w:rsidRPr="00A61FF9">
        <w:rPr>
          <w:rFonts w:ascii="Times New Roman" w:eastAsia="Times New Roman" w:hAnsi="Times New Roman" w:cs="Times New Roman"/>
          <w:sz w:val="24"/>
          <w:szCs w:val="24"/>
          <w:lang w:eastAsia="fr-CA"/>
        </w:rPr>
        <w:t>ble par une protection chimique, mais l</w:t>
      </w:r>
      <w:r w:rsidRPr="00A61FF9">
        <w:rPr>
          <w:rFonts w:ascii="Times New Roman" w:eastAsia="Times New Roman" w:hAnsi="Times New Roman" w:cs="Times New Roman"/>
          <w:sz w:val="24"/>
          <w:szCs w:val="24"/>
          <w:lang w:eastAsia="fr-CA"/>
        </w:rPr>
        <w:t>’utilisation massive de pesticides chimique</w:t>
      </w:r>
      <w:r w:rsidR="00C81A57" w:rsidRPr="00A61FF9">
        <w:rPr>
          <w:rFonts w:ascii="Times New Roman" w:eastAsia="Times New Roman" w:hAnsi="Times New Roman" w:cs="Times New Roman"/>
          <w:sz w:val="24"/>
          <w:szCs w:val="24"/>
          <w:lang w:eastAsia="fr-CA"/>
        </w:rPr>
        <w:t>s, à partir des années 1970, a</w:t>
      </w:r>
      <w:r w:rsidRPr="00A61FF9">
        <w:rPr>
          <w:rFonts w:ascii="Times New Roman" w:eastAsia="Times New Roman" w:hAnsi="Times New Roman" w:cs="Times New Roman"/>
          <w:sz w:val="24"/>
          <w:szCs w:val="24"/>
          <w:lang w:eastAsia="fr-CA"/>
        </w:rPr>
        <w:t xml:space="preserve"> permis de maintenir le r</w:t>
      </w:r>
      <w:r w:rsidR="005C068A" w:rsidRPr="00A61FF9">
        <w:rPr>
          <w:rFonts w:ascii="Times New Roman" w:eastAsia="Times New Roman" w:hAnsi="Times New Roman" w:cs="Times New Roman"/>
          <w:sz w:val="24"/>
          <w:szCs w:val="24"/>
          <w:lang w:eastAsia="fr-CA"/>
        </w:rPr>
        <w:t xml:space="preserve">isque épidémique sous  contrôle et, </w:t>
      </w:r>
      <w:r w:rsidR="00C81A57" w:rsidRPr="00A61FF9">
        <w:rPr>
          <w:rFonts w:ascii="Times New Roman" w:eastAsia="Times New Roman" w:hAnsi="Times New Roman" w:cs="Times New Roman"/>
          <w:sz w:val="24"/>
          <w:szCs w:val="24"/>
          <w:lang w:eastAsia="fr-CA"/>
        </w:rPr>
        <w:t xml:space="preserve"> Grâce au progrès génétique, et  la protection </w:t>
      </w:r>
      <w:r w:rsidRPr="00A61FF9">
        <w:rPr>
          <w:rFonts w:ascii="Times New Roman" w:eastAsia="Times New Roman" w:hAnsi="Times New Roman" w:cs="Times New Roman"/>
          <w:sz w:val="24"/>
          <w:szCs w:val="24"/>
          <w:lang w:eastAsia="fr-CA"/>
        </w:rPr>
        <w:t xml:space="preserve"> par les pesticides, le </w:t>
      </w:r>
      <w:r w:rsidR="00C81A57" w:rsidRPr="00A61FF9">
        <w:rPr>
          <w:rFonts w:ascii="Times New Roman" w:eastAsia="Times New Roman" w:hAnsi="Times New Roman" w:cs="Times New Roman"/>
          <w:sz w:val="24"/>
          <w:szCs w:val="24"/>
          <w:lang w:eastAsia="fr-CA"/>
        </w:rPr>
        <w:t>rendement moyen de certains céréales a</w:t>
      </w:r>
      <w:r w:rsidR="005C068A" w:rsidRPr="00A61FF9">
        <w:rPr>
          <w:rFonts w:ascii="Times New Roman" w:eastAsia="Times New Roman" w:hAnsi="Times New Roman" w:cs="Times New Roman"/>
          <w:sz w:val="24"/>
          <w:szCs w:val="24"/>
          <w:lang w:eastAsia="fr-CA"/>
        </w:rPr>
        <w:t xml:space="preserve"> </w:t>
      </w:r>
      <w:r w:rsidRPr="00A61FF9">
        <w:rPr>
          <w:rFonts w:ascii="Times New Roman" w:eastAsia="Times New Roman" w:hAnsi="Times New Roman" w:cs="Times New Roman"/>
          <w:sz w:val="24"/>
          <w:szCs w:val="24"/>
          <w:lang w:eastAsia="fr-CA"/>
        </w:rPr>
        <w:t xml:space="preserve"> augm</w:t>
      </w:r>
      <w:r w:rsidR="005C068A" w:rsidRPr="00A61FF9">
        <w:rPr>
          <w:rFonts w:ascii="Times New Roman" w:eastAsia="Times New Roman" w:hAnsi="Times New Roman" w:cs="Times New Roman"/>
          <w:sz w:val="24"/>
          <w:szCs w:val="24"/>
          <w:lang w:eastAsia="fr-CA"/>
        </w:rPr>
        <w:t>enter de manière</w:t>
      </w:r>
      <w:r w:rsidR="00C81A57" w:rsidRPr="00A61FF9">
        <w:rPr>
          <w:rFonts w:ascii="Times New Roman" w:eastAsia="Times New Roman" w:hAnsi="Times New Roman" w:cs="Times New Roman"/>
          <w:sz w:val="24"/>
          <w:szCs w:val="24"/>
          <w:lang w:eastAsia="fr-CA"/>
        </w:rPr>
        <w:t xml:space="preserve"> significative </w:t>
      </w:r>
      <w:r w:rsidRPr="00A61FF9">
        <w:rPr>
          <w:rFonts w:ascii="Times New Roman" w:eastAsia="Times New Roman" w:hAnsi="Times New Roman" w:cs="Times New Roman"/>
          <w:sz w:val="24"/>
          <w:szCs w:val="24"/>
          <w:lang w:eastAsia="fr-CA"/>
        </w:rPr>
        <w:t xml:space="preserve"> entre 1950 et 2000. </w:t>
      </w:r>
      <w:r w:rsidR="00C81A57" w:rsidRPr="00A61FF9">
        <w:rPr>
          <w:rFonts w:ascii="Times New Roman" w:eastAsia="Times New Roman" w:hAnsi="Times New Roman" w:cs="Times New Roman"/>
          <w:sz w:val="24"/>
          <w:szCs w:val="24"/>
          <w:lang w:eastAsia="fr-CA"/>
        </w:rPr>
        <w:t>Mais a</w:t>
      </w:r>
      <w:r w:rsidR="005C068A" w:rsidRPr="00A61FF9">
        <w:rPr>
          <w:rFonts w:ascii="Times New Roman" w:eastAsia="Times New Roman" w:hAnsi="Times New Roman" w:cs="Times New Roman"/>
          <w:sz w:val="24"/>
          <w:szCs w:val="24"/>
          <w:lang w:eastAsia="fr-CA"/>
        </w:rPr>
        <w:t>ctue</w:t>
      </w:r>
      <w:r w:rsidR="00C81A57" w:rsidRPr="00A61FF9">
        <w:rPr>
          <w:rFonts w:ascii="Times New Roman" w:eastAsia="Times New Roman" w:hAnsi="Times New Roman" w:cs="Times New Roman"/>
          <w:sz w:val="24"/>
          <w:szCs w:val="24"/>
          <w:lang w:eastAsia="fr-CA"/>
        </w:rPr>
        <w:t xml:space="preserve">llement le </w:t>
      </w:r>
      <w:r w:rsidRPr="00A61FF9">
        <w:rPr>
          <w:rFonts w:ascii="Times New Roman" w:eastAsia="Times New Roman" w:hAnsi="Times New Roman" w:cs="Times New Roman"/>
          <w:sz w:val="24"/>
          <w:szCs w:val="24"/>
          <w:lang w:eastAsia="fr-CA"/>
        </w:rPr>
        <w:t>consommateu</w:t>
      </w:r>
      <w:r w:rsidR="00C81A57" w:rsidRPr="00A61FF9">
        <w:rPr>
          <w:rFonts w:ascii="Times New Roman" w:eastAsia="Times New Roman" w:hAnsi="Times New Roman" w:cs="Times New Roman"/>
          <w:sz w:val="24"/>
          <w:szCs w:val="24"/>
          <w:lang w:eastAsia="fr-CA"/>
        </w:rPr>
        <w:t>r et le citoyen,</w:t>
      </w:r>
      <w:r w:rsidRPr="00A61FF9">
        <w:rPr>
          <w:rFonts w:ascii="Times New Roman" w:eastAsia="Times New Roman" w:hAnsi="Times New Roman" w:cs="Times New Roman"/>
          <w:sz w:val="24"/>
          <w:szCs w:val="24"/>
          <w:lang w:eastAsia="fr-CA"/>
        </w:rPr>
        <w:t xml:space="preserve"> refus</w:t>
      </w:r>
      <w:r w:rsidR="00C81A57" w:rsidRPr="00A61FF9">
        <w:rPr>
          <w:rFonts w:ascii="Times New Roman" w:eastAsia="Times New Roman" w:hAnsi="Times New Roman" w:cs="Times New Roman"/>
          <w:sz w:val="24"/>
          <w:szCs w:val="24"/>
          <w:lang w:eastAsia="fr-CA"/>
        </w:rPr>
        <w:t xml:space="preserve">e ces produits </w:t>
      </w:r>
      <w:r w:rsidR="00251918" w:rsidRPr="00A61FF9">
        <w:rPr>
          <w:rFonts w:ascii="Times New Roman" w:eastAsia="Times New Roman" w:hAnsi="Times New Roman" w:cs="Times New Roman"/>
          <w:sz w:val="24"/>
          <w:szCs w:val="24"/>
          <w:lang w:eastAsia="fr-CA"/>
        </w:rPr>
        <w:t>traiter par des produits chimiques ou issus  d</w:t>
      </w:r>
      <w:r w:rsidRPr="00A61FF9">
        <w:rPr>
          <w:rFonts w:ascii="Times New Roman" w:eastAsia="Times New Roman" w:hAnsi="Times New Roman" w:cs="Times New Roman"/>
          <w:sz w:val="24"/>
          <w:szCs w:val="24"/>
          <w:lang w:eastAsia="fr-CA"/>
        </w:rPr>
        <w:t>es biotechnologies, dont les OGM.</w:t>
      </w:r>
    </w:p>
    <w:p w:rsidR="0079361D" w:rsidRPr="00A61FF9" w:rsidRDefault="0079361D" w:rsidP="0079361D">
      <w:pPr>
        <w:spacing w:before="100" w:beforeAutospacing="1" w:after="100" w:afterAutospacing="1" w:line="240" w:lineRule="auto"/>
        <w:outlineLvl w:val="2"/>
        <w:rPr>
          <w:rFonts w:ascii="Times New Roman" w:eastAsia="Times New Roman" w:hAnsi="Times New Roman" w:cs="Times New Roman"/>
          <w:b/>
          <w:bCs/>
          <w:sz w:val="27"/>
          <w:szCs w:val="27"/>
          <w:lang w:eastAsia="fr-CA"/>
        </w:rPr>
      </w:pPr>
      <w:r w:rsidRPr="00A61FF9">
        <w:rPr>
          <w:rFonts w:ascii="Times New Roman" w:eastAsia="Times New Roman" w:hAnsi="Times New Roman" w:cs="Times New Roman"/>
          <w:b/>
          <w:bCs/>
          <w:sz w:val="27"/>
          <w:szCs w:val="27"/>
          <w:lang w:eastAsia="fr-CA"/>
        </w:rPr>
        <w:t>Les animaux malades de l’élevage</w:t>
      </w:r>
    </w:p>
    <w:p w:rsidR="0079361D" w:rsidRPr="00A61FF9" w:rsidRDefault="0079361D" w:rsidP="00A90C13">
      <w:pPr>
        <w:spacing w:before="100" w:beforeAutospacing="1" w:after="100" w:afterAutospacing="1" w:line="240" w:lineRule="auto"/>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Dans le domaine animal, l’année 2011 a été décrétée Année mondiale vétérinaire pour commémorer la fondation</w:t>
      </w:r>
      <w:r w:rsidR="00A90C13" w:rsidRPr="00A61FF9">
        <w:rPr>
          <w:rFonts w:ascii="Times New Roman" w:eastAsia="Times New Roman" w:hAnsi="Times New Roman" w:cs="Times New Roman"/>
          <w:sz w:val="24"/>
          <w:szCs w:val="24"/>
          <w:lang w:eastAsia="fr-CA"/>
        </w:rPr>
        <w:t xml:space="preserve"> de la première école vétérinaire au monde, par Claude Bourgelat en France, il y a 250 ans</w:t>
      </w:r>
      <w:proofErr w:type="gramStart"/>
      <w:r w:rsidR="00A90C13" w:rsidRPr="00A61FF9">
        <w:rPr>
          <w:rFonts w:ascii="Times New Roman" w:eastAsia="Times New Roman" w:hAnsi="Times New Roman" w:cs="Times New Roman"/>
          <w:sz w:val="24"/>
          <w:szCs w:val="24"/>
          <w:lang w:eastAsia="fr-CA"/>
        </w:rPr>
        <w:t>,.</w:t>
      </w:r>
      <w:proofErr w:type="gramEnd"/>
      <w:r w:rsidR="00A90C13" w:rsidRPr="00A61FF9">
        <w:rPr>
          <w:rFonts w:ascii="Times New Roman" w:eastAsia="Times New Roman" w:hAnsi="Times New Roman" w:cs="Times New Roman"/>
          <w:sz w:val="24"/>
          <w:szCs w:val="24"/>
          <w:lang w:eastAsia="fr-CA"/>
        </w:rPr>
        <w:t xml:space="preserve"> Pour </w:t>
      </w:r>
      <w:r w:rsidRPr="00A61FF9">
        <w:rPr>
          <w:rFonts w:ascii="Times New Roman" w:eastAsia="Times New Roman" w:hAnsi="Times New Roman" w:cs="Times New Roman"/>
          <w:sz w:val="24"/>
          <w:szCs w:val="24"/>
          <w:lang w:eastAsia="fr-CA"/>
        </w:rPr>
        <w:t xml:space="preserve"> lutter contre de grandes épidémies, notamment la peste bovine, grâce à des mesures découlant directement de ce qui était perçu du mode de transmissio</w:t>
      </w:r>
      <w:r w:rsidR="00A90C13" w:rsidRPr="00A61FF9">
        <w:rPr>
          <w:rFonts w:ascii="Times New Roman" w:eastAsia="Times New Roman" w:hAnsi="Times New Roman" w:cs="Times New Roman"/>
          <w:sz w:val="24"/>
          <w:szCs w:val="24"/>
          <w:lang w:eastAsia="fr-CA"/>
        </w:rPr>
        <w:t xml:space="preserve">n de la maladie </w:t>
      </w:r>
    </w:p>
    <w:p w:rsidR="0079361D" w:rsidRPr="00A61FF9" w:rsidRDefault="0079361D" w:rsidP="007D4E33">
      <w:pPr>
        <w:spacing w:before="100" w:beforeAutospacing="1" w:after="100" w:afterAutospacing="1" w:line="240" w:lineRule="auto"/>
        <w:rPr>
          <w:rFonts w:ascii="Times New Roman" w:eastAsia="Times New Roman" w:hAnsi="Times New Roman" w:cs="Times New Roman"/>
          <w:sz w:val="24"/>
          <w:szCs w:val="24"/>
          <w:lang w:eastAsia="fr-CA"/>
        </w:rPr>
      </w:pPr>
      <w:r w:rsidRPr="00A61FF9">
        <w:rPr>
          <w:rFonts w:ascii="Times New Roman" w:eastAsia="Times New Roman" w:hAnsi="Times New Roman" w:cs="Times New Roman"/>
          <w:b/>
          <w:bCs/>
          <w:sz w:val="24"/>
          <w:szCs w:val="24"/>
          <w:lang w:eastAsia="fr-CA"/>
        </w:rPr>
        <w:t>De nouvelles pathologies</w:t>
      </w:r>
      <w:r w:rsidRPr="00A61FF9">
        <w:rPr>
          <w:rFonts w:ascii="Times New Roman" w:eastAsia="Times New Roman" w:hAnsi="Times New Roman" w:cs="Times New Roman"/>
          <w:sz w:val="24"/>
          <w:szCs w:val="24"/>
          <w:lang w:eastAsia="fr-CA"/>
        </w:rPr>
        <w:br/>
        <w:t>Les années 1980 et 1990 ont été marquées dans les élevages par le retour des maladies infectieuses et l’apparition de maladies émergentes (ESB, influenza aviaire, fièvre catarrhale</w:t>
      </w:r>
      <w:r w:rsidR="007D4E33" w:rsidRPr="007D4E33">
        <w:rPr>
          <w:rFonts w:ascii="Times New Roman" w:eastAsia="Times New Roman" w:hAnsi="Times New Roman" w:cs="Times New Roman"/>
          <w:color w:val="FF0000"/>
          <w:sz w:val="24"/>
          <w:szCs w:val="24"/>
          <w:lang w:eastAsia="fr-CA"/>
        </w:rPr>
        <w:t xml:space="preserve"> </w:t>
      </w:r>
      <w:r w:rsidR="007D4E33">
        <w:rPr>
          <w:rFonts w:ascii="Times New Roman" w:eastAsia="Times New Roman" w:hAnsi="Times New Roman" w:cs="Times New Roman"/>
          <w:color w:val="FF0000"/>
          <w:sz w:val="24"/>
          <w:szCs w:val="24"/>
          <w:lang w:eastAsia="fr-CA"/>
        </w:rPr>
        <w:t xml:space="preserve">= </w:t>
      </w:r>
      <w:r w:rsidR="007D4E33" w:rsidRPr="00F0372E">
        <w:rPr>
          <w:rFonts w:ascii="Times New Roman" w:eastAsia="Times New Roman" w:hAnsi="Times New Roman" w:cs="Times New Roman"/>
          <w:color w:val="FF0000"/>
          <w:sz w:val="24"/>
          <w:szCs w:val="24"/>
          <w:lang w:eastAsia="fr-CA"/>
        </w:rPr>
        <w:t xml:space="preserve">La </w:t>
      </w:r>
      <w:r w:rsidR="007D4E33" w:rsidRPr="00F0372E">
        <w:rPr>
          <w:rFonts w:ascii="Times New Roman" w:eastAsia="Times New Roman" w:hAnsi="Times New Roman" w:cs="Times New Roman"/>
          <w:b/>
          <w:bCs/>
          <w:color w:val="FF0000"/>
          <w:sz w:val="24"/>
          <w:szCs w:val="24"/>
          <w:lang w:eastAsia="fr-CA"/>
        </w:rPr>
        <w:t>fièvre catarrhale</w:t>
      </w:r>
      <w:r w:rsidR="007D4E33" w:rsidRPr="00F0372E">
        <w:rPr>
          <w:rFonts w:ascii="Times New Roman" w:eastAsia="Times New Roman" w:hAnsi="Times New Roman" w:cs="Times New Roman"/>
          <w:color w:val="FF0000"/>
          <w:sz w:val="24"/>
          <w:szCs w:val="24"/>
          <w:lang w:eastAsia="fr-CA"/>
        </w:rPr>
        <w:t xml:space="preserve"> ovine (FCO), ou maladie de la langue bleue, est une arbovirose due au virus </w:t>
      </w:r>
      <w:proofErr w:type="spellStart"/>
      <w:r w:rsidR="007D4E33" w:rsidRPr="00F0372E">
        <w:rPr>
          <w:rFonts w:ascii="Times New Roman" w:eastAsia="Times New Roman" w:hAnsi="Times New Roman" w:cs="Times New Roman"/>
          <w:color w:val="FF0000"/>
          <w:sz w:val="24"/>
          <w:szCs w:val="24"/>
          <w:lang w:eastAsia="fr-CA"/>
        </w:rPr>
        <w:t>bluetongue</w:t>
      </w:r>
      <w:proofErr w:type="spellEnd"/>
      <w:r w:rsidR="007D4E33" w:rsidRPr="00F0372E">
        <w:rPr>
          <w:rFonts w:ascii="Times New Roman" w:eastAsia="Times New Roman" w:hAnsi="Times New Roman" w:cs="Times New Roman"/>
          <w:color w:val="FF0000"/>
          <w:sz w:val="24"/>
          <w:szCs w:val="24"/>
          <w:lang w:eastAsia="fr-CA"/>
        </w:rPr>
        <w:t xml:space="preserve"> (BTV pour </w:t>
      </w:r>
      <w:proofErr w:type="spellStart"/>
      <w:r w:rsidR="007D4E33" w:rsidRPr="00F0372E">
        <w:rPr>
          <w:rFonts w:ascii="Times New Roman" w:eastAsia="Times New Roman" w:hAnsi="Times New Roman" w:cs="Times New Roman"/>
          <w:color w:val="FF0000"/>
          <w:sz w:val="24"/>
          <w:szCs w:val="24"/>
          <w:lang w:eastAsia="fr-CA"/>
        </w:rPr>
        <w:t>BlueTongue</w:t>
      </w:r>
      <w:proofErr w:type="spellEnd"/>
      <w:r w:rsidR="007D4E33" w:rsidRPr="00F0372E">
        <w:rPr>
          <w:rFonts w:ascii="Times New Roman" w:eastAsia="Times New Roman" w:hAnsi="Times New Roman" w:cs="Times New Roman"/>
          <w:color w:val="FF0000"/>
          <w:sz w:val="24"/>
          <w:szCs w:val="24"/>
          <w:lang w:eastAsia="fr-CA"/>
        </w:rPr>
        <w:t xml:space="preserve"> Virus) transmis par des moucherons piqueur</w:t>
      </w:r>
      <w:r w:rsidR="007D4E33">
        <w:rPr>
          <w:rFonts w:ascii="Times New Roman" w:eastAsia="Times New Roman" w:hAnsi="Times New Roman" w:cs="Times New Roman"/>
          <w:sz w:val="24"/>
          <w:szCs w:val="24"/>
          <w:lang w:eastAsia="fr-CA"/>
        </w:rPr>
        <w:t xml:space="preserve">  </w:t>
      </w:r>
      <w:r w:rsidRPr="00A61FF9">
        <w:rPr>
          <w:rFonts w:ascii="Times New Roman" w:eastAsia="Times New Roman" w:hAnsi="Times New Roman" w:cs="Times New Roman"/>
          <w:sz w:val="24"/>
          <w:szCs w:val="24"/>
          <w:lang w:eastAsia="fr-CA"/>
        </w:rPr>
        <w:t>), qui ont amené les épidémiologistes à se pencher sur l’analyse des conditions d’apparition et de transmission de ces maladies, dans l’optique de contrôler ou limiter leur transmission.</w:t>
      </w:r>
    </w:p>
    <w:p w:rsidR="0079361D" w:rsidRPr="00A61FF9" w:rsidRDefault="0079361D" w:rsidP="0079361D">
      <w:pPr>
        <w:spacing w:before="100" w:beforeAutospacing="1" w:after="100" w:afterAutospacing="1" w:line="240" w:lineRule="auto"/>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Au cours du XX</w:t>
      </w:r>
      <w:r w:rsidRPr="00A61FF9">
        <w:rPr>
          <w:rFonts w:ascii="Times New Roman" w:eastAsia="Times New Roman" w:hAnsi="Times New Roman" w:cs="Times New Roman"/>
          <w:sz w:val="24"/>
          <w:szCs w:val="24"/>
          <w:vertAlign w:val="superscript"/>
          <w:lang w:eastAsia="fr-CA"/>
        </w:rPr>
        <w:t>e</w:t>
      </w:r>
      <w:r w:rsidRPr="00A61FF9">
        <w:rPr>
          <w:rFonts w:ascii="Times New Roman" w:eastAsia="Times New Roman" w:hAnsi="Times New Roman" w:cs="Times New Roman"/>
          <w:sz w:val="24"/>
          <w:szCs w:val="24"/>
          <w:lang w:eastAsia="fr-CA"/>
        </w:rPr>
        <w:t xml:space="preserve"> siècle, les connaissances sur l’épidémiologie de maladies infectieuses comme la tuberculose bovine ont permis de mettre en place de grandes campagnes de dépistage et de lutte qui ont conduit à la quasi-disparition de cette maladie des exploitations agricoles.</w:t>
      </w:r>
    </w:p>
    <w:p w:rsidR="0079361D" w:rsidRPr="00A61FF9" w:rsidRDefault="002458F4" w:rsidP="0079361D">
      <w:pPr>
        <w:spacing w:before="100" w:beforeAutospacing="1" w:after="100" w:afterAutospacing="1" w:line="240" w:lineRule="auto"/>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A</w:t>
      </w:r>
      <w:r w:rsidR="0079361D" w:rsidRPr="00A61FF9">
        <w:rPr>
          <w:rFonts w:ascii="Times New Roman" w:eastAsia="Times New Roman" w:hAnsi="Times New Roman" w:cs="Times New Roman"/>
          <w:sz w:val="24"/>
          <w:szCs w:val="24"/>
          <w:lang w:eastAsia="fr-CA"/>
        </w:rPr>
        <w:t>u cours des années 1960 et 1970, l’élevage s’est profondément transformé et intensifié grâce à divers progrès techniques en matière de génétique des animaux, d’alimentation et de logement, permettant par exemple chez les vaches une augmentation de la production laitière annuelle moyenne de 2 000 kilogrammes à plus de 7 000 kilogrammes par individu. Cela s’est accompagné d’une augmentation importante de nombreuses maladies dites « d’élevage » ou « multifactorielles », comme les troubles locomoteurs ou les infections de la mamelle.</w:t>
      </w:r>
    </w:p>
    <w:p w:rsidR="0079361D" w:rsidRPr="00A61FF9" w:rsidRDefault="0079361D" w:rsidP="0079361D">
      <w:pPr>
        <w:spacing w:before="100" w:beforeAutospacing="1" w:after="100" w:afterAutospacing="1" w:line="240" w:lineRule="auto"/>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L’</w:t>
      </w:r>
      <w:proofErr w:type="spellStart"/>
      <w:r w:rsidRPr="00A61FF9">
        <w:rPr>
          <w:rFonts w:ascii="Times New Roman" w:eastAsia="Times New Roman" w:hAnsi="Times New Roman" w:cs="Times New Roman"/>
          <w:sz w:val="24"/>
          <w:szCs w:val="24"/>
          <w:lang w:eastAsia="fr-CA"/>
        </w:rPr>
        <w:t>épidémio</w:t>
      </w:r>
      <w:proofErr w:type="spellEnd"/>
      <w:r w:rsidRPr="00A61FF9">
        <w:rPr>
          <w:rFonts w:ascii="Times New Roman" w:eastAsia="Times New Roman" w:hAnsi="Times New Roman" w:cs="Times New Roman"/>
          <w:sz w:val="24"/>
          <w:szCs w:val="24"/>
          <w:lang w:eastAsia="fr-CA"/>
        </w:rPr>
        <w:t>-surveillance a pour objectif la surveillance des maladies et de leur évolution</w:t>
      </w:r>
    </w:p>
    <w:p w:rsidR="0079361D" w:rsidRPr="00A61FF9" w:rsidRDefault="0079361D" w:rsidP="0079361D">
      <w:pPr>
        <w:spacing w:before="100" w:beforeAutospacing="1" w:after="100" w:afterAutospacing="1" w:line="240" w:lineRule="auto"/>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 xml:space="preserve">Cette situation a amené le développement d’études épidémiologiques sur les facteurs de risque de ces maladies en vue de proposer des mesures de prévention fondées sur la correction de pratiques d’élevage défavorables. Ces travaux ont été rendus possibles grâce au développement de la puissance de calcul des ordinateurs actuels et des logiciels de statistique </w:t>
      </w:r>
      <w:r w:rsidR="00F67758" w:rsidRPr="00A61FF9">
        <w:rPr>
          <w:rFonts w:ascii="Times New Roman" w:eastAsia="Times New Roman" w:hAnsi="Times New Roman" w:cs="Times New Roman"/>
          <w:sz w:val="24"/>
          <w:szCs w:val="24"/>
          <w:lang w:eastAsia="fr-CA"/>
        </w:rPr>
        <w:t>multi variée</w:t>
      </w:r>
      <w:r w:rsidRPr="00A61FF9">
        <w:rPr>
          <w:rFonts w:ascii="Times New Roman" w:eastAsia="Times New Roman" w:hAnsi="Times New Roman" w:cs="Times New Roman"/>
          <w:sz w:val="24"/>
          <w:szCs w:val="24"/>
          <w:lang w:eastAsia="fr-CA"/>
        </w:rPr>
        <w:t>.</w:t>
      </w:r>
    </w:p>
    <w:p w:rsidR="0079361D" w:rsidRPr="00A61FF9" w:rsidRDefault="0079361D" w:rsidP="0079361D">
      <w:pPr>
        <w:spacing w:before="100" w:beforeAutospacing="1" w:after="100" w:afterAutospacing="1" w:line="240" w:lineRule="auto"/>
        <w:outlineLvl w:val="2"/>
        <w:rPr>
          <w:rFonts w:ascii="Times New Roman" w:eastAsia="Times New Roman" w:hAnsi="Times New Roman" w:cs="Times New Roman"/>
          <w:b/>
          <w:bCs/>
          <w:sz w:val="27"/>
          <w:szCs w:val="27"/>
          <w:lang w:eastAsia="fr-CA"/>
        </w:rPr>
      </w:pPr>
      <w:r w:rsidRPr="00A61FF9">
        <w:rPr>
          <w:rFonts w:ascii="Times New Roman" w:eastAsia="Times New Roman" w:hAnsi="Times New Roman" w:cs="Times New Roman"/>
          <w:b/>
          <w:bCs/>
          <w:sz w:val="27"/>
          <w:szCs w:val="27"/>
          <w:lang w:eastAsia="fr-CA"/>
        </w:rPr>
        <w:lastRenderedPageBreak/>
        <w:t>Surveiller et comprendre</w:t>
      </w:r>
    </w:p>
    <w:p w:rsidR="0079361D" w:rsidRPr="00A61FF9" w:rsidRDefault="0079361D" w:rsidP="0079361D">
      <w:pPr>
        <w:spacing w:before="100" w:beforeAutospacing="1" w:after="100" w:afterAutospacing="1" w:line="240" w:lineRule="auto"/>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 xml:space="preserve">Fondée pour l’essentiel sur l’observation, en opposition avec l’expérimentation, l’épidémiologie animale a, parmi ses premiers objectifs, la surveillance des maladies et de leur évolution dans le temps et dans l’espace, appelée </w:t>
      </w:r>
      <w:proofErr w:type="spellStart"/>
      <w:r w:rsidRPr="00A61FF9">
        <w:rPr>
          <w:rFonts w:ascii="Times New Roman" w:eastAsia="Times New Roman" w:hAnsi="Times New Roman" w:cs="Times New Roman"/>
          <w:sz w:val="24"/>
          <w:szCs w:val="24"/>
          <w:lang w:eastAsia="fr-CA"/>
        </w:rPr>
        <w:t>épidémio</w:t>
      </w:r>
      <w:proofErr w:type="spellEnd"/>
      <w:r w:rsidR="007D4E33">
        <w:rPr>
          <w:rFonts w:ascii="Times New Roman" w:eastAsia="Times New Roman" w:hAnsi="Times New Roman" w:cs="Times New Roman"/>
          <w:sz w:val="24"/>
          <w:szCs w:val="24"/>
          <w:lang w:eastAsia="fr-CA"/>
        </w:rPr>
        <w:t xml:space="preserve"> </w:t>
      </w:r>
      <w:r w:rsidRPr="00A61FF9">
        <w:rPr>
          <w:rFonts w:ascii="Times New Roman" w:eastAsia="Times New Roman" w:hAnsi="Times New Roman" w:cs="Times New Roman"/>
          <w:sz w:val="24"/>
          <w:szCs w:val="24"/>
          <w:lang w:eastAsia="fr-CA"/>
        </w:rPr>
        <w:t>surveillance ; pour la plupart, les maladies surveillées sont infectieuses. Entrent dans ce cadre de la surveillance les dispositifs permettant l’identification la plus précoce possible des maladies émergentes (</w:t>
      </w:r>
      <w:proofErr w:type="spellStart"/>
      <w:r w:rsidRPr="00A61FF9">
        <w:rPr>
          <w:rFonts w:ascii="Times New Roman" w:eastAsia="Times New Roman" w:hAnsi="Times New Roman" w:cs="Times New Roman"/>
          <w:sz w:val="24"/>
          <w:szCs w:val="24"/>
          <w:lang w:eastAsia="fr-CA"/>
        </w:rPr>
        <w:t>Barnouin</w:t>
      </w:r>
      <w:proofErr w:type="spellEnd"/>
      <w:r w:rsidRPr="00A61FF9">
        <w:rPr>
          <w:rFonts w:ascii="Times New Roman" w:eastAsia="Times New Roman" w:hAnsi="Times New Roman" w:cs="Times New Roman"/>
          <w:sz w:val="24"/>
          <w:szCs w:val="24"/>
          <w:lang w:eastAsia="fr-CA"/>
        </w:rPr>
        <w:t xml:space="preserve"> et Sache, 2011).</w:t>
      </w:r>
    </w:p>
    <w:p w:rsidR="0079361D" w:rsidRPr="00A61FF9" w:rsidRDefault="0079361D" w:rsidP="0079361D">
      <w:pPr>
        <w:spacing w:before="100" w:beforeAutospacing="1" w:after="100" w:afterAutospacing="1" w:line="240" w:lineRule="auto"/>
        <w:rPr>
          <w:rFonts w:ascii="Times New Roman" w:eastAsia="Times New Roman" w:hAnsi="Times New Roman" w:cs="Times New Roman"/>
          <w:sz w:val="24"/>
          <w:szCs w:val="24"/>
          <w:lang w:eastAsia="fr-CA"/>
        </w:rPr>
      </w:pPr>
      <w:r w:rsidRPr="00A61FF9">
        <w:rPr>
          <w:rFonts w:ascii="Times New Roman" w:eastAsia="Times New Roman" w:hAnsi="Times New Roman" w:cs="Times New Roman"/>
          <w:b/>
          <w:bCs/>
          <w:sz w:val="24"/>
          <w:szCs w:val="24"/>
          <w:lang w:eastAsia="fr-CA"/>
        </w:rPr>
        <w:t>Tests révélateurs</w:t>
      </w:r>
      <w:r w:rsidRPr="00A61FF9">
        <w:rPr>
          <w:rFonts w:ascii="Times New Roman" w:eastAsia="Times New Roman" w:hAnsi="Times New Roman" w:cs="Times New Roman"/>
          <w:sz w:val="24"/>
          <w:szCs w:val="24"/>
          <w:lang w:eastAsia="fr-CA"/>
        </w:rPr>
        <w:br/>
        <w:t>La mise sur le marché de tests dits rapides, réalisés de manière systématique sur l’encéphale des animaux morts et à l’abattoir, a été testée en France en 2000 et généralisée en 2001. Ce mode de dépistage a complètement modifié l’image qu’on avait de la situation en révélant l’ampleur du nombre d’animaux atteints, jusqu’à 274 en 2002. Une large part des animaux atteints était passée inaperçue jusqu’alors.</w:t>
      </w:r>
    </w:p>
    <w:p w:rsidR="0079361D" w:rsidRPr="00A61FF9" w:rsidRDefault="0079361D" w:rsidP="00F67758">
      <w:pPr>
        <w:spacing w:before="100" w:beforeAutospacing="1" w:after="100" w:afterAutospacing="1" w:line="240" w:lineRule="auto"/>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 xml:space="preserve">Surveiller certaines maladies sur le long terme suppose d’avoir des moyens simples, peu onéreux et standardisés de détecter les animaux malades ou les troupeaux atteints, ce qui pose de nombreuses questions techniques et d’organisation. </w:t>
      </w:r>
    </w:p>
    <w:p w:rsidR="0079361D" w:rsidRPr="00A61FF9" w:rsidRDefault="0079361D" w:rsidP="0079361D">
      <w:pPr>
        <w:spacing w:before="100" w:beforeAutospacing="1" w:after="100" w:afterAutospacing="1" w:line="240" w:lineRule="auto"/>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 xml:space="preserve">Une illustration tout à fait démonstrative peut être donnée par l’exemple de l’encéphalopathie spongiforme bovine (ESB ou </w:t>
      </w:r>
      <w:r w:rsidR="0017307D">
        <w:rPr>
          <w:rFonts w:ascii="Times New Roman" w:eastAsia="Times New Roman" w:hAnsi="Times New Roman" w:cs="Times New Roman"/>
          <w:sz w:val="24"/>
          <w:szCs w:val="24"/>
          <w:lang w:eastAsia="fr-CA"/>
        </w:rPr>
        <w:t>«vache folle»</w:t>
      </w:r>
      <w:proofErr w:type="gramStart"/>
      <w:r w:rsidR="0017307D">
        <w:rPr>
          <w:rFonts w:ascii="Times New Roman" w:eastAsia="Times New Roman" w:hAnsi="Times New Roman" w:cs="Times New Roman"/>
          <w:sz w:val="24"/>
          <w:szCs w:val="24"/>
          <w:lang w:eastAsia="fr-CA"/>
        </w:rPr>
        <w:t xml:space="preserve">) </w:t>
      </w:r>
      <w:r w:rsidRPr="00A61FF9">
        <w:rPr>
          <w:rFonts w:ascii="Times New Roman" w:eastAsia="Times New Roman" w:hAnsi="Times New Roman" w:cs="Times New Roman"/>
          <w:sz w:val="24"/>
          <w:szCs w:val="24"/>
          <w:lang w:eastAsia="fr-CA"/>
        </w:rPr>
        <w:t>.</w:t>
      </w:r>
      <w:proofErr w:type="gramEnd"/>
      <w:r w:rsidRPr="00A61FF9">
        <w:rPr>
          <w:rFonts w:ascii="Times New Roman" w:eastAsia="Times New Roman" w:hAnsi="Times New Roman" w:cs="Times New Roman"/>
          <w:sz w:val="24"/>
          <w:szCs w:val="24"/>
          <w:lang w:eastAsia="fr-CA"/>
        </w:rPr>
        <w:t xml:space="preserve"> Le dépistage des animaux atteints a été introduit en France en 1990. Fondé dans un premier temps sur l’identification de suspects cliniques, conduisant à l’euthanasie et à la confirmation du diagnostic grâce à l’examen histologique de l’encéphale, ce mode de détection n’a permis de détecter au mieux que trente cas par an jusqu’en 1999.</w:t>
      </w:r>
    </w:p>
    <w:p w:rsidR="0079361D" w:rsidRPr="00A61FF9" w:rsidRDefault="0079361D" w:rsidP="0017307D">
      <w:pPr>
        <w:spacing w:before="100" w:beforeAutospacing="1" w:after="100" w:afterAutospacing="1" w:line="240" w:lineRule="auto"/>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 xml:space="preserve">L’exemple de l’ESB illustre la difficulté de mettre en place une surveillance fiable, à la fois sensible, spécifique et stable dans le temps et l’espace. Pourtant, ces qualités sont indispensables pour une vision correcte de la fréquence de la maladie et de son évolution. </w:t>
      </w:r>
    </w:p>
    <w:p w:rsidR="0079361D" w:rsidRPr="00A61FF9" w:rsidRDefault="0079361D" w:rsidP="0079361D">
      <w:pPr>
        <w:spacing w:before="100" w:beforeAutospacing="1" w:after="100" w:afterAutospacing="1" w:line="240" w:lineRule="auto"/>
        <w:outlineLvl w:val="2"/>
        <w:rPr>
          <w:rFonts w:ascii="Times New Roman" w:eastAsia="Times New Roman" w:hAnsi="Times New Roman" w:cs="Times New Roman"/>
          <w:b/>
          <w:bCs/>
          <w:sz w:val="27"/>
          <w:szCs w:val="27"/>
          <w:lang w:eastAsia="fr-CA"/>
        </w:rPr>
      </w:pPr>
      <w:r w:rsidRPr="00A61FF9">
        <w:rPr>
          <w:rFonts w:ascii="Times New Roman" w:eastAsia="Times New Roman" w:hAnsi="Times New Roman" w:cs="Times New Roman"/>
          <w:b/>
          <w:bCs/>
          <w:sz w:val="27"/>
          <w:szCs w:val="27"/>
          <w:lang w:eastAsia="fr-CA"/>
        </w:rPr>
        <w:t xml:space="preserve">Animal </w:t>
      </w:r>
      <w:r w:rsidRPr="00A61FF9">
        <w:rPr>
          <w:rFonts w:ascii="Times New Roman" w:eastAsia="Times New Roman" w:hAnsi="Times New Roman" w:cs="Times New Roman"/>
          <w:b/>
          <w:bCs/>
          <w:i/>
          <w:iCs/>
          <w:sz w:val="27"/>
          <w:szCs w:val="27"/>
          <w:lang w:eastAsia="fr-CA"/>
        </w:rPr>
        <w:t>versus</w:t>
      </w:r>
      <w:r w:rsidRPr="00A61FF9">
        <w:rPr>
          <w:rFonts w:ascii="Times New Roman" w:eastAsia="Times New Roman" w:hAnsi="Times New Roman" w:cs="Times New Roman"/>
          <w:b/>
          <w:bCs/>
          <w:sz w:val="27"/>
          <w:szCs w:val="27"/>
          <w:lang w:eastAsia="fr-CA"/>
        </w:rPr>
        <w:t xml:space="preserve"> végétal</w:t>
      </w:r>
    </w:p>
    <w:p w:rsidR="0079361D" w:rsidRPr="00A61FF9" w:rsidRDefault="0079361D" w:rsidP="007D71BB">
      <w:pPr>
        <w:spacing w:before="100" w:beforeAutospacing="1" w:after="100" w:afterAutospacing="1" w:line="240" w:lineRule="auto"/>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Les agents pathogènes évoluent vers de nouvelles formes virulentes</w:t>
      </w:r>
      <w:r w:rsidR="0017307D">
        <w:rPr>
          <w:rFonts w:ascii="Times New Roman" w:eastAsia="Times New Roman" w:hAnsi="Times New Roman" w:cs="Times New Roman"/>
          <w:sz w:val="24"/>
          <w:szCs w:val="24"/>
          <w:lang w:eastAsia="fr-CA"/>
        </w:rPr>
        <w:t xml:space="preserve">. </w:t>
      </w:r>
      <w:r w:rsidRPr="00A61FF9">
        <w:rPr>
          <w:rFonts w:ascii="Times New Roman" w:eastAsia="Times New Roman" w:hAnsi="Times New Roman" w:cs="Times New Roman"/>
          <w:sz w:val="24"/>
          <w:szCs w:val="24"/>
          <w:lang w:eastAsia="fr-CA"/>
        </w:rPr>
        <w:t>Si l’on retrouve dans le domaine végétal des situations comparables – il existe, par exemple, des viroses sur arbres fruitiers qui conduisent à des dispositifs de surveillance très largement fondés sur des tests de détection –, le problème de la surveillance est perçu de manière différente. Les agents pathogènes de plantes sont en grande majorité des champignons microscopiques – on compte plus de 8000 espèces –, et dans une moindre mesure des virus (500) et des bactéries (200). Ces parasites ont souvent évolué vers des formes très spécialisées, comme l’ont révélé les études de phylogénie.</w:t>
      </w:r>
    </w:p>
    <w:p w:rsidR="0079361D" w:rsidRPr="00A61FF9" w:rsidRDefault="0079361D" w:rsidP="0079361D">
      <w:pPr>
        <w:spacing w:before="100" w:beforeAutospacing="1" w:after="100" w:afterAutospacing="1" w:line="240" w:lineRule="auto"/>
        <w:outlineLvl w:val="2"/>
        <w:rPr>
          <w:rFonts w:ascii="Times New Roman" w:eastAsia="Times New Roman" w:hAnsi="Times New Roman" w:cs="Times New Roman"/>
          <w:b/>
          <w:bCs/>
          <w:sz w:val="27"/>
          <w:szCs w:val="27"/>
          <w:lang w:eastAsia="fr-CA"/>
        </w:rPr>
      </w:pPr>
      <w:r w:rsidRPr="00A61FF9">
        <w:rPr>
          <w:rFonts w:ascii="Times New Roman" w:eastAsia="Times New Roman" w:hAnsi="Times New Roman" w:cs="Times New Roman"/>
          <w:b/>
          <w:bCs/>
          <w:sz w:val="27"/>
          <w:szCs w:val="27"/>
          <w:lang w:eastAsia="fr-CA"/>
        </w:rPr>
        <w:t>Pathologies évolutives</w:t>
      </w:r>
    </w:p>
    <w:p w:rsidR="0079361D" w:rsidRPr="00A61FF9" w:rsidRDefault="0079361D" w:rsidP="0079361D">
      <w:pPr>
        <w:spacing w:before="100" w:beforeAutospacing="1" w:after="100" w:afterAutospacing="1" w:line="240" w:lineRule="auto"/>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S’il est relativement rare que de nouvelles maladies apparaissent, il est en revanche très fréquent que les agents pathogènes évoluent vers de nouvelles formes virulentes, capables d’infecter les variétés résistantes proposées aux agriculteurs.</w:t>
      </w:r>
    </w:p>
    <w:p w:rsidR="0079361D" w:rsidRPr="00A61FF9" w:rsidRDefault="0079361D" w:rsidP="0079361D">
      <w:pPr>
        <w:spacing w:before="100" w:beforeAutospacing="1" w:after="100" w:afterAutospacing="1" w:line="240" w:lineRule="auto"/>
        <w:rPr>
          <w:rFonts w:ascii="Times New Roman" w:eastAsia="Times New Roman" w:hAnsi="Times New Roman" w:cs="Times New Roman"/>
          <w:sz w:val="24"/>
          <w:szCs w:val="24"/>
          <w:lang w:eastAsia="fr-CA"/>
        </w:rPr>
      </w:pPr>
      <w:r w:rsidRPr="00A61FF9">
        <w:rPr>
          <w:rFonts w:ascii="Times New Roman" w:eastAsia="Times New Roman" w:hAnsi="Times New Roman" w:cs="Times New Roman"/>
          <w:b/>
          <w:bCs/>
          <w:sz w:val="24"/>
          <w:szCs w:val="24"/>
          <w:lang w:eastAsia="fr-CA"/>
        </w:rPr>
        <w:t>Évolution des parasites</w:t>
      </w:r>
      <w:r w:rsidRPr="00A61FF9">
        <w:rPr>
          <w:rFonts w:ascii="Times New Roman" w:eastAsia="Times New Roman" w:hAnsi="Times New Roman" w:cs="Times New Roman"/>
          <w:sz w:val="24"/>
          <w:szCs w:val="24"/>
          <w:lang w:eastAsia="fr-CA"/>
        </w:rPr>
        <w:br/>
        <w:t xml:space="preserve">On a montré que la </w:t>
      </w:r>
      <w:proofErr w:type="spellStart"/>
      <w:r w:rsidRPr="00A61FF9">
        <w:rPr>
          <w:rFonts w:ascii="Times New Roman" w:eastAsia="Times New Roman" w:hAnsi="Times New Roman" w:cs="Times New Roman"/>
          <w:sz w:val="24"/>
          <w:szCs w:val="24"/>
          <w:lang w:eastAsia="fr-CA"/>
        </w:rPr>
        <w:t>pyriculariose</w:t>
      </w:r>
      <w:proofErr w:type="spellEnd"/>
      <w:r w:rsidRPr="00A61FF9">
        <w:rPr>
          <w:rFonts w:ascii="Times New Roman" w:eastAsia="Times New Roman" w:hAnsi="Times New Roman" w:cs="Times New Roman"/>
          <w:sz w:val="24"/>
          <w:szCs w:val="24"/>
          <w:lang w:eastAsia="fr-CA"/>
        </w:rPr>
        <w:t xml:space="preserve"> du riz, maladie dévastatrice causée par un champignon (</w:t>
      </w:r>
      <w:proofErr w:type="spellStart"/>
      <w:r w:rsidRPr="00A61FF9">
        <w:rPr>
          <w:rFonts w:ascii="Times New Roman" w:eastAsia="Times New Roman" w:hAnsi="Times New Roman" w:cs="Times New Roman"/>
          <w:i/>
          <w:iCs/>
          <w:sz w:val="24"/>
          <w:szCs w:val="24"/>
          <w:lang w:eastAsia="fr-CA"/>
        </w:rPr>
        <w:t>Magnaporthe</w:t>
      </w:r>
      <w:proofErr w:type="spellEnd"/>
      <w:r w:rsidRPr="00A61FF9">
        <w:rPr>
          <w:rFonts w:ascii="Times New Roman" w:eastAsia="Times New Roman" w:hAnsi="Times New Roman" w:cs="Times New Roman"/>
          <w:i/>
          <w:iCs/>
          <w:sz w:val="24"/>
          <w:szCs w:val="24"/>
          <w:lang w:eastAsia="fr-CA"/>
        </w:rPr>
        <w:t xml:space="preserve"> </w:t>
      </w:r>
      <w:proofErr w:type="spellStart"/>
      <w:r w:rsidRPr="00A61FF9">
        <w:rPr>
          <w:rFonts w:ascii="Times New Roman" w:eastAsia="Times New Roman" w:hAnsi="Times New Roman" w:cs="Times New Roman"/>
          <w:i/>
          <w:iCs/>
          <w:sz w:val="24"/>
          <w:szCs w:val="24"/>
          <w:lang w:eastAsia="fr-CA"/>
        </w:rPr>
        <w:t>oryzae</w:t>
      </w:r>
      <w:proofErr w:type="spellEnd"/>
      <w:r w:rsidRPr="00A61FF9">
        <w:rPr>
          <w:rFonts w:ascii="Times New Roman" w:eastAsia="Times New Roman" w:hAnsi="Times New Roman" w:cs="Times New Roman"/>
          <w:sz w:val="24"/>
          <w:szCs w:val="24"/>
          <w:lang w:eastAsia="fr-CA"/>
        </w:rPr>
        <w:t>), est apparue il y a 5000 à 7000 ans suite au passage de l’agent pathogène d’un hôte sauvage du riz cultivé (</w:t>
      </w:r>
      <w:proofErr w:type="spellStart"/>
      <w:r w:rsidRPr="00A61FF9">
        <w:rPr>
          <w:rFonts w:ascii="Times New Roman" w:eastAsia="Times New Roman" w:hAnsi="Times New Roman" w:cs="Times New Roman"/>
          <w:sz w:val="24"/>
          <w:szCs w:val="24"/>
          <w:lang w:eastAsia="fr-CA"/>
        </w:rPr>
        <w:t>Stukenbrock</w:t>
      </w:r>
      <w:proofErr w:type="spellEnd"/>
      <w:r w:rsidRPr="00A61FF9">
        <w:rPr>
          <w:rFonts w:ascii="Times New Roman" w:eastAsia="Times New Roman" w:hAnsi="Times New Roman" w:cs="Times New Roman"/>
          <w:sz w:val="24"/>
          <w:szCs w:val="24"/>
          <w:lang w:eastAsia="fr-CA"/>
        </w:rPr>
        <w:t xml:space="preserve"> </w:t>
      </w:r>
      <w:r w:rsidRPr="00A61FF9">
        <w:rPr>
          <w:rFonts w:ascii="Times New Roman" w:eastAsia="Times New Roman" w:hAnsi="Times New Roman" w:cs="Times New Roman"/>
          <w:i/>
          <w:iCs/>
          <w:sz w:val="24"/>
          <w:szCs w:val="24"/>
          <w:lang w:eastAsia="fr-CA"/>
        </w:rPr>
        <w:t xml:space="preserve">et </w:t>
      </w:r>
      <w:proofErr w:type="gramStart"/>
      <w:r w:rsidRPr="00A61FF9">
        <w:rPr>
          <w:rFonts w:ascii="Times New Roman" w:eastAsia="Times New Roman" w:hAnsi="Times New Roman" w:cs="Times New Roman"/>
          <w:i/>
          <w:iCs/>
          <w:sz w:val="24"/>
          <w:szCs w:val="24"/>
          <w:lang w:eastAsia="fr-CA"/>
        </w:rPr>
        <w:t>al.</w:t>
      </w:r>
      <w:r w:rsidRPr="00A61FF9">
        <w:rPr>
          <w:rFonts w:ascii="Times New Roman" w:eastAsia="Times New Roman" w:hAnsi="Times New Roman" w:cs="Times New Roman"/>
          <w:sz w:val="24"/>
          <w:szCs w:val="24"/>
          <w:lang w:eastAsia="fr-CA"/>
        </w:rPr>
        <w:t>,</w:t>
      </w:r>
      <w:proofErr w:type="gramEnd"/>
      <w:r w:rsidRPr="00A61FF9">
        <w:rPr>
          <w:rFonts w:ascii="Times New Roman" w:eastAsia="Times New Roman" w:hAnsi="Times New Roman" w:cs="Times New Roman"/>
          <w:sz w:val="24"/>
          <w:szCs w:val="24"/>
          <w:lang w:eastAsia="fr-CA"/>
        </w:rPr>
        <w:t xml:space="preserve"> 2007). À la fin des années 1980, au Brésil, ce même champignon est devenu pathogène pour le blé.</w:t>
      </w:r>
    </w:p>
    <w:p w:rsidR="0079361D" w:rsidRPr="00A61FF9" w:rsidRDefault="0079361D" w:rsidP="0079361D">
      <w:pPr>
        <w:spacing w:before="100" w:beforeAutospacing="1" w:after="100" w:afterAutospacing="1" w:line="240" w:lineRule="auto"/>
        <w:outlineLvl w:val="2"/>
        <w:rPr>
          <w:rFonts w:ascii="Times New Roman" w:eastAsia="Times New Roman" w:hAnsi="Times New Roman" w:cs="Times New Roman"/>
          <w:b/>
          <w:bCs/>
          <w:sz w:val="27"/>
          <w:szCs w:val="27"/>
          <w:lang w:eastAsia="fr-CA"/>
        </w:rPr>
      </w:pPr>
      <w:r w:rsidRPr="00A61FF9">
        <w:rPr>
          <w:rFonts w:ascii="Times New Roman" w:eastAsia="Times New Roman" w:hAnsi="Times New Roman" w:cs="Times New Roman"/>
          <w:b/>
          <w:bCs/>
          <w:sz w:val="27"/>
          <w:szCs w:val="27"/>
          <w:lang w:eastAsia="fr-CA"/>
        </w:rPr>
        <w:t>Prévenir et conseiller</w:t>
      </w:r>
    </w:p>
    <w:p w:rsidR="0079361D" w:rsidRPr="00A61FF9" w:rsidRDefault="0079361D" w:rsidP="00E3581F">
      <w:pPr>
        <w:spacing w:before="100" w:beforeAutospacing="1" w:after="100" w:afterAutospacing="1" w:line="240" w:lineRule="auto"/>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 xml:space="preserve">Une autre forme de surveillance consiste à estimer le risque annuel d’épidémie, sur le mode de ce qui se fait dans le cas de la grippe humaine – mais avec moins de moyens. En effet, la plupart des maladies des cultures sont récurrentes et réapparaissent chaque année, avec une importance directement liée aux conditions climatiques. </w:t>
      </w:r>
    </w:p>
    <w:p w:rsidR="0079361D" w:rsidRPr="00A61FF9" w:rsidRDefault="0079361D" w:rsidP="0079361D">
      <w:pPr>
        <w:spacing w:before="100" w:beforeAutospacing="1" w:after="100" w:afterAutospacing="1" w:line="240" w:lineRule="auto"/>
        <w:outlineLvl w:val="2"/>
        <w:rPr>
          <w:rFonts w:ascii="Times New Roman" w:eastAsia="Times New Roman" w:hAnsi="Times New Roman" w:cs="Times New Roman"/>
          <w:b/>
          <w:bCs/>
          <w:sz w:val="27"/>
          <w:szCs w:val="27"/>
          <w:lang w:eastAsia="fr-CA"/>
        </w:rPr>
      </w:pPr>
      <w:r w:rsidRPr="00A61FF9">
        <w:rPr>
          <w:rFonts w:ascii="Times New Roman" w:eastAsia="Times New Roman" w:hAnsi="Times New Roman" w:cs="Times New Roman"/>
          <w:b/>
          <w:bCs/>
          <w:sz w:val="27"/>
          <w:szCs w:val="27"/>
          <w:lang w:eastAsia="fr-CA"/>
        </w:rPr>
        <w:t>Mécanismes de diffusion et de modélisation</w:t>
      </w:r>
    </w:p>
    <w:p w:rsidR="0079361D" w:rsidRPr="00A61FF9" w:rsidRDefault="0079361D" w:rsidP="0079361D">
      <w:pPr>
        <w:spacing w:before="100" w:beforeAutospacing="1" w:after="100" w:afterAutospacing="1" w:line="240" w:lineRule="auto"/>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Les approches sont empruntées à l’épidémiologie humaine</w:t>
      </w:r>
    </w:p>
    <w:p w:rsidR="0079361D" w:rsidRPr="00A61FF9" w:rsidRDefault="0079361D" w:rsidP="00E3581F">
      <w:pPr>
        <w:spacing w:before="100" w:beforeAutospacing="1" w:after="100" w:afterAutospacing="1" w:line="240" w:lineRule="auto"/>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Un autre volet majeur de l’épidémiologie animale consiste à analyser les facteurs impliqués dans la transmission des maladies, entre animaux et entre troupeaux, ainsi que la diffusion des maladies dans l’espace et dans le temps. Dans ce domaine, les approches utilisées sont directement empruntées à l’épidémiologie humaine et reposent sur des études de terrain, des méthodes statistiques pour analyser ces données en tenant compte de la complexité des facteurs impliqués, et divers types de modélisation adaptés aux objectifs et aux données disponibles</w:t>
      </w:r>
      <w:proofErr w:type="gramStart"/>
      <w:r w:rsidRPr="00A61FF9">
        <w:rPr>
          <w:rFonts w:ascii="Times New Roman" w:eastAsia="Times New Roman" w:hAnsi="Times New Roman" w:cs="Times New Roman"/>
          <w:sz w:val="24"/>
          <w:szCs w:val="24"/>
          <w:lang w:eastAsia="fr-CA"/>
        </w:rPr>
        <w:t>..</w:t>
      </w:r>
      <w:proofErr w:type="gramEnd"/>
    </w:p>
    <w:p w:rsidR="0079361D" w:rsidRPr="00A61FF9" w:rsidRDefault="0079361D" w:rsidP="0079361D">
      <w:pPr>
        <w:spacing w:before="100" w:beforeAutospacing="1" w:after="100" w:afterAutospacing="1" w:line="240" w:lineRule="auto"/>
        <w:outlineLvl w:val="2"/>
        <w:rPr>
          <w:rFonts w:ascii="Times New Roman" w:eastAsia="Times New Roman" w:hAnsi="Times New Roman" w:cs="Times New Roman"/>
          <w:b/>
          <w:bCs/>
          <w:sz w:val="27"/>
          <w:szCs w:val="27"/>
          <w:lang w:eastAsia="fr-CA"/>
        </w:rPr>
      </w:pPr>
      <w:r w:rsidRPr="00A61FF9">
        <w:rPr>
          <w:rFonts w:ascii="Times New Roman" w:eastAsia="Times New Roman" w:hAnsi="Times New Roman" w:cs="Times New Roman"/>
          <w:b/>
          <w:bCs/>
          <w:sz w:val="27"/>
          <w:szCs w:val="27"/>
          <w:lang w:eastAsia="fr-CA"/>
        </w:rPr>
        <w:t>Le cas de l’ESB</w:t>
      </w:r>
    </w:p>
    <w:p w:rsidR="0079361D" w:rsidRPr="00A61FF9" w:rsidRDefault="0079361D" w:rsidP="0079361D">
      <w:pPr>
        <w:spacing w:before="100" w:beforeAutospacing="1" w:after="100" w:afterAutospacing="1" w:line="240" w:lineRule="auto"/>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 xml:space="preserve">Différents types d’études mis en </w:t>
      </w:r>
      <w:proofErr w:type="spellStart"/>
      <w:r w:rsidRPr="00A61FF9">
        <w:rPr>
          <w:rFonts w:ascii="Times New Roman" w:eastAsia="Times New Roman" w:hAnsi="Times New Roman" w:cs="Times New Roman"/>
          <w:sz w:val="24"/>
          <w:szCs w:val="24"/>
          <w:lang w:eastAsia="fr-CA"/>
        </w:rPr>
        <w:t>oeuvre</w:t>
      </w:r>
      <w:proofErr w:type="spellEnd"/>
      <w:r w:rsidRPr="00A61FF9">
        <w:rPr>
          <w:rFonts w:ascii="Times New Roman" w:eastAsia="Times New Roman" w:hAnsi="Times New Roman" w:cs="Times New Roman"/>
          <w:sz w:val="24"/>
          <w:szCs w:val="24"/>
          <w:lang w:eastAsia="fr-CA"/>
        </w:rPr>
        <w:t xml:space="preserve"> sur l’ESB permettent d’illustrer la variété et la complémentarité des approches épidémiologiques utilisées. Un premier type d’études a été mené à l’échelle des vaches et des troupeaux, fondé sur la comparaison des conditions d’élevage entre vaches atteintes et vaches non atteintes choisies au hasard parmi des animaux nés la même année. Ces études cas témoins menées en France sur les cas d’ESB nés après l’interdiction des farines animales dans l’alimentation des bovins ont permis de vérifier l’hypothèse selon laquelle l’alimentation des vaches était toujours la source d’infection de ces cas, par le fait de contaminations entre aliments fabriqués pour porcs ou volailles, dans lesquels les farines animales étaient toujours autorisées, et aliments pour bovins dans lesquels elles étaient interdites.</w:t>
      </w:r>
    </w:p>
    <w:p w:rsidR="0079361D" w:rsidRPr="00A61FF9" w:rsidRDefault="0079361D" w:rsidP="0079361D">
      <w:pPr>
        <w:spacing w:before="100" w:beforeAutospacing="1" w:after="100" w:afterAutospacing="1" w:line="240" w:lineRule="auto"/>
        <w:rPr>
          <w:rFonts w:ascii="Times New Roman" w:eastAsia="Times New Roman" w:hAnsi="Times New Roman" w:cs="Times New Roman"/>
          <w:sz w:val="24"/>
          <w:szCs w:val="24"/>
          <w:lang w:eastAsia="fr-CA"/>
        </w:rPr>
      </w:pPr>
      <w:r w:rsidRPr="00A61FF9">
        <w:rPr>
          <w:rFonts w:ascii="Times New Roman" w:eastAsia="Times New Roman" w:hAnsi="Times New Roman" w:cs="Times New Roman"/>
          <w:b/>
          <w:bCs/>
          <w:sz w:val="24"/>
          <w:szCs w:val="24"/>
          <w:lang w:eastAsia="fr-CA"/>
        </w:rPr>
        <w:t>Analyses spatiales</w:t>
      </w:r>
      <w:r w:rsidRPr="00A61FF9">
        <w:rPr>
          <w:rFonts w:ascii="Times New Roman" w:eastAsia="Times New Roman" w:hAnsi="Times New Roman" w:cs="Times New Roman"/>
          <w:sz w:val="24"/>
          <w:szCs w:val="24"/>
          <w:lang w:eastAsia="fr-CA"/>
        </w:rPr>
        <w:br/>
        <w:t>Des études sur l’ESB ont été menées à l’échelle de zones géographiques. Ces analyses spatiales ont été fondées sur l’hypothèse selon laquelle le risque ESB devait être spatialement superposé aux zones de chalandise</w:t>
      </w:r>
      <w:r w:rsidR="00943269">
        <w:rPr>
          <w:rFonts w:ascii="Times New Roman" w:eastAsia="Times New Roman" w:hAnsi="Times New Roman" w:cs="Times New Roman"/>
          <w:sz w:val="24"/>
          <w:szCs w:val="24"/>
          <w:lang w:eastAsia="fr-CA"/>
        </w:rPr>
        <w:t xml:space="preserve"> = </w:t>
      </w:r>
      <w:r w:rsidR="004F3B0A" w:rsidRPr="004F3B0A">
        <w:rPr>
          <w:rFonts w:ascii="Times New Roman" w:eastAsia="Times New Roman" w:hAnsi="Times New Roman" w:cs="Times New Roman"/>
          <w:color w:val="FF0000"/>
          <w:sz w:val="24"/>
          <w:szCs w:val="24"/>
          <w:lang w:eastAsia="fr-CA"/>
        </w:rPr>
        <w:t>zone d’influence</w:t>
      </w:r>
      <w:r w:rsidR="004F3B0A">
        <w:rPr>
          <w:rFonts w:ascii="Times New Roman" w:eastAsia="Times New Roman" w:hAnsi="Times New Roman" w:cs="Times New Roman"/>
          <w:sz w:val="24"/>
          <w:szCs w:val="24"/>
          <w:lang w:eastAsia="fr-CA"/>
        </w:rPr>
        <w:t>,</w:t>
      </w:r>
      <w:r w:rsidRPr="00A61FF9">
        <w:rPr>
          <w:rFonts w:ascii="Times New Roman" w:eastAsia="Times New Roman" w:hAnsi="Times New Roman" w:cs="Times New Roman"/>
          <w:sz w:val="24"/>
          <w:szCs w:val="24"/>
          <w:lang w:eastAsia="fr-CA"/>
        </w:rPr>
        <w:t xml:space="preserve"> des aliments du commerce d’une usine donnée si la source d’ESB était bien alimentaire et liée aux aliments de base utilisés et au procédé de fabrication. Ces études ont en effet montré un risque hétérogène d’ESB sur le territoire français, une fois pris en compte la structure de la population bovine (densité et types de production), et une relation statistique avec l’usage, dans les usines d’aliments du bétail, des farines animales pour les aliments destinés aux porcs et volailles.</w:t>
      </w:r>
    </w:p>
    <w:p w:rsidR="0079361D" w:rsidRPr="00A61FF9" w:rsidRDefault="0079361D" w:rsidP="0079361D">
      <w:pPr>
        <w:spacing w:before="100" w:beforeAutospacing="1" w:after="100" w:afterAutospacing="1" w:line="240" w:lineRule="auto"/>
        <w:outlineLvl w:val="2"/>
        <w:rPr>
          <w:rFonts w:ascii="Times New Roman" w:eastAsia="Times New Roman" w:hAnsi="Times New Roman" w:cs="Times New Roman"/>
          <w:b/>
          <w:bCs/>
          <w:sz w:val="27"/>
          <w:szCs w:val="27"/>
          <w:lang w:eastAsia="fr-CA"/>
        </w:rPr>
      </w:pPr>
      <w:r w:rsidRPr="00A61FF9">
        <w:rPr>
          <w:rFonts w:ascii="Times New Roman" w:eastAsia="Times New Roman" w:hAnsi="Times New Roman" w:cs="Times New Roman"/>
          <w:b/>
          <w:bCs/>
          <w:sz w:val="27"/>
          <w:szCs w:val="27"/>
          <w:lang w:eastAsia="fr-CA"/>
        </w:rPr>
        <w:t>De la plante au paysage</w:t>
      </w:r>
    </w:p>
    <w:p w:rsidR="0079361D" w:rsidRPr="00A61FF9" w:rsidRDefault="0079361D" w:rsidP="0079361D">
      <w:pPr>
        <w:spacing w:before="100" w:beforeAutospacing="1" w:after="100" w:afterAutospacing="1" w:line="240" w:lineRule="auto"/>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Dans le domaine végétal, il ne s’agit pas tant d’éradiquer une maladie que de diminuer de manière générale la sévérité des épidémies. La notion même de maladie est en effet assez différente dans les deux domaines. Si, dans la plupart des cas, un animal est soit sain soit malade, la notion de « plante malade » est en revanche plus difficile à définir. Une simple promenade dans la nature permet d’observer que la plupart des plantes ont des feuilles marquées de taches suspectes ou perforées de trous après le repas d’un insecte. Pourtant, la plante semble bien se porter et termine son cycle de vie sans difficulté.</w:t>
      </w:r>
    </w:p>
    <w:p w:rsidR="0079361D" w:rsidRPr="00A61FF9" w:rsidRDefault="0079361D" w:rsidP="0079361D">
      <w:pPr>
        <w:spacing w:before="100" w:beforeAutospacing="1" w:after="100" w:afterAutospacing="1" w:line="240" w:lineRule="auto"/>
        <w:outlineLvl w:val="2"/>
        <w:rPr>
          <w:rFonts w:ascii="Times New Roman" w:eastAsia="Times New Roman" w:hAnsi="Times New Roman" w:cs="Times New Roman"/>
          <w:b/>
          <w:bCs/>
          <w:sz w:val="27"/>
          <w:szCs w:val="27"/>
          <w:lang w:eastAsia="fr-CA"/>
        </w:rPr>
      </w:pPr>
      <w:r w:rsidRPr="00A61FF9">
        <w:rPr>
          <w:rFonts w:ascii="Times New Roman" w:eastAsia="Times New Roman" w:hAnsi="Times New Roman" w:cs="Times New Roman"/>
          <w:b/>
          <w:bCs/>
          <w:sz w:val="27"/>
          <w:szCs w:val="27"/>
          <w:lang w:eastAsia="fr-CA"/>
        </w:rPr>
        <w:t>Maîtriser le risque</w:t>
      </w:r>
    </w:p>
    <w:p w:rsidR="0079361D" w:rsidRPr="00A61FF9" w:rsidRDefault="0079361D" w:rsidP="0079361D">
      <w:pPr>
        <w:spacing w:before="100" w:beforeAutospacing="1" w:after="100" w:afterAutospacing="1" w:line="240" w:lineRule="auto"/>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Jusqu’à présent, le recours aux fongicides était la solution idéale. Elle n’est cependant pas applicable à toutes les situations. Par exemple, il n’y a pas de pesticide directement efficace contre les virus. La meilleure approche reste alors le contrôle sanitaire et l’élimination des plants ou des semences infectées, quand cela est possible. D’autre part, la volonté de réduire le recours aux intrants chimiques a conduit les chercheurs et les instituts techniques vers deux orientations complémentaires, d’une part l’adaptation du mode de conduite de la culture (par exemple en ajustant les dates de semis aux périodes de moindre risque) et d’autre part l’utilisation de variétés résistantes.</w:t>
      </w:r>
    </w:p>
    <w:p w:rsidR="0079361D" w:rsidRPr="00A61FF9" w:rsidRDefault="0079361D" w:rsidP="0079361D">
      <w:pPr>
        <w:spacing w:before="100" w:beforeAutospacing="1" w:after="100" w:afterAutospacing="1" w:line="240" w:lineRule="auto"/>
        <w:outlineLvl w:val="2"/>
        <w:rPr>
          <w:rFonts w:ascii="Times New Roman" w:eastAsia="Times New Roman" w:hAnsi="Times New Roman" w:cs="Times New Roman"/>
          <w:b/>
          <w:bCs/>
          <w:sz w:val="27"/>
          <w:szCs w:val="27"/>
          <w:lang w:eastAsia="fr-CA"/>
        </w:rPr>
      </w:pPr>
      <w:r w:rsidRPr="00A61FF9">
        <w:rPr>
          <w:rFonts w:ascii="Times New Roman" w:eastAsia="Times New Roman" w:hAnsi="Times New Roman" w:cs="Times New Roman"/>
          <w:b/>
          <w:bCs/>
          <w:sz w:val="27"/>
          <w:szCs w:val="27"/>
          <w:lang w:eastAsia="fr-CA"/>
        </w:rPr>
        <w:t>Variétés résistantes</w:t>
      </w:r>
    </w:p>
    <w:p w:rsidR="0079361D" w:rsidRPr="00A61FF9" w:rsidRDefault="0079361D" w:rsidP="0079361D">
      <w:pPr>
        <w:spacing w:before="100" w:beforeAutospacing="1" w:after="100" w:afterAutospacing="1" w:line="240" w:lineRule="auto"/>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La notion de « plante malade» est difficile à définir</w:t>
      </w:r>
    </w:p>
    <w:p w:rsidR="0079361D" w:rsidRPr="00A61FF9" w:rsidRDefault="0079361D" w:rsidP="0079361D">
      <w:pPr>
        <w:spacing w:before="100" w:beforeAutospacing="1" w:after="100" w:afterAutospacing="1" w:line="240" w:lineRule="auto"/>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La lutte génétique consiste à développer de nouvelles variétés résistantes par sélection, en faisant appel notamment à des caractères de résistance dits quantitatifs, qui ralentissent le développement du parasite sans l’empêcher totalement. Mais, au-delà de l’approche de sélection proprement dite, les recherches portent actuellement sur la meilleure manière d’utiliser les caractères de résistance génétique, en se fondant sur la notion centrale de diversité fonctionnelle. Pour des raisons de simplicité technique (mais aussi pour des raisons culturelles liées aux efforts d’amélioration des génotypes réalisés dans le passé), les parcelles cultivées sont semées d’une seule variété, c’est-à-dire, en général, de plantes d’un même génotype.</w:t>
      </w:r>
    </w:p>
    <w:p w:rsidR="0079361D" w:rsidRPr="00A61FF9" w:rsidRDefault="0079361D" w:rsidP="0079361D">
      <w:pPr>
        <w:spacing w:before="100" w:beforeAutospacing="1" w:after="100" w:afterAutospacing="1" w:line="240" w:lineRule="auto"/>
        <w:outlineLvl w:val="2"/>
        <w:rPr>
          <w:rFonts w:ascii="Times New Roman" w:eastAsia="Times New Roman" w:hAnsi="Times New Roman" w:cs="Times New Roman"/>
          <w:b/>
          <w:bCs/>
          <w:sz w:val="27"/>
          <w:szCs w:val="27"/>
          <w:lang w:eastAsia="fr-CA"/>
        </w:rPr>
      </w:pPr>
      <w:r w:rsidRPr="00A61FF9">
        <w:rPr>
          <w:rFonts w:ascii="Times New Roman" w:eastAsia="Times New Roman" w:hAnsi="Times New Roman" w:cs="Times New Roman"/>
          <w:b/>
          <w:bCs/>
          <w:sz w:val="27"/>
          <w:szCs w:val="27"/>
          <w:lang w:eastAsia="fr-CA"/>
        </w:rPr>
        <w:t>Une connaissance pour l’action</w:t>
      </w:r>
    </w:p>
    <w:p w:rsidR="0079361D" w:rsidRPr="00A61FF9" w:rsidRDefault="0079361D" w:rsidP="003B3EF0">
      <w:pPr>
        <w:spacing w:before="100" w:beforeAutospacing="1" w:after="100" w:afterAutospacing="1" w:line="240" w:lineRule="auto"/>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L’épidémiologie tient une place importante pour apporter des éléments de réponse aux grands enjeux actuels de réduction des pesticides (pour les plantes) et des médicaments (pour les animaux) en agriculture. L’objectif central de la discipline est désormais la maîtrise de la diffusion des maladies par des moyens non chimiques, dans un contexte de changement global et d’augmentation des échanges commerciaux.</w:t>
      </w:r>
    </w:p>
    <w:p w:rsidR="0079361D" w:rsidRPr="00A61FF9" w:rsidRDefault="0079361D" w:rsidP="0079361D">
      <w:pPr>
        <w:spacing w:before="100" w:beforeAutospacing="1" w:after="100" w:afterAutospacing="1" w:line="240" w:lineRule="auto"/>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L’objectif est la maîtrise de la diffusion des maladies par des moyens non chimiques</w:t>
      </w:r>
    </w:p>
    <w:p w:rsidR="0079361D" w:rsidRPr="00A61FF9" w:rsidRDefault="0079361D" w:rsidP="00D13664">
      <w:pPr>
        <w:spacing w:before="100" w:beforeAutospacing="1" w:after="100" w:afterAutospacing="1" w:line="240" w:lineRule="auto"/>
        <w:rPr>
          <w:rFonts w:ascii="Times New Roman" w:eastAsia="Times New Roman" w:hAnsi="Times New Roman" w:cs="Times New Roman"/>
          <w:sz w:val="24"/>
          <w:szCs w:val="24"/>
          <w:lang w:eastAsia="fr-CA"/>
        </w:rPr>
      </w:pPr>
      <w:r w:rsidRPr="00A61FF9">
        <w:rPr>
          <w:rFonts w:ascii="Times New Roman" w:eastAsia="Times New Roman" w:hAnsi="Times New Roman" w:cs="Times New Roman"/>
          <w:sz w:val="24"/>
          <w:szCs w:val="24"/>
          <w:lang w:eastAsia="fr-CA"/>
        </w:rPr>
        <w:t xml:space="preserve">Les travaux d’épidémiologie sont menés en partenariat avec les acteurs de terrain, agriculteurs, organisations professionnelles agricoles et instituts techniques. Leurs résultats alimentent la réflexion et l’expertise auprès des pouvoirs publics, qui sont les gestionnaires du risque en ce qui concerne les maladies réglementées. Il existe par ailleurs d’autres niveaux d’action pour limiter les maladies non réglementées, depuis l’agriculteur jusqu’aux acteurs des filières de production et de commercialisation. </w:t>
      </w:r>
    </w:p>
    <w:p w:rsidR="008C6CF0" w:rsidRPr="00D13664" w:rsidRDefault="0079361D" w:rsidP="00D13664">
      <w:pPr>
        <w:spacing w:before="100" w:beforeAutospacing="1" w:after="100" w:afterAutospacing="1" w:line="240" w:lineRule="auto"/>
        <w:rPr>
          <w:rFonts w:ascii="Times New Roman" w:eastAsia="Times New Roman" w:hAnsi="Times New Roman" w:cs="Times New Roman"/>
          <w:sz w:val="24"/>
          <w:szCs w:val="24"/>
          <w:lang w:eastAsia="fr-CA"/>
        </w:rPr>
      </w:pPr>
      <w:r w:rsidRPr="00A61FF9">
        <w:rPr>
          <w:rFonts w:ascii="Times New Roman" w:eastAsia="Times New Roman" w:hAnsi="Times New Roman" w:cs="Times New Roman"/>
          <w:b/>
          <w:bCs/>
          <w:sz w:val="24"/>
          <w:szCs w:val="24"/>
          <w:lang w:eastAsia="fr-CA"/>
        </w:rPr>
        <w:t>Mélange de variétés</w:t>
      </w:r>
      <w:r w:rsidRPr="00A61FF9">
        <w:rPr>
          <w:rFonts w:ascii="Times New Roman" w:eastAsia="Times New Roman" w:hAnsi="Times New Roman" w:cs="Times New Roman"/>
          <w:sz w:val="24"/>
          <w:szCs w:val="24"/>
          <w:lang w:eastAsia="fr-CA"/>
        </w:rPr>
        <w:br/>
        <w:t xml:space="preserve">Le simple fait de mélanger trois ou quatre variétés pourvues de facteurs de résistance différents oppose aux épidémies une résistance très efficace, qui résulte non pas d’un gène particulier mais d’un effet de dilution des propagules du parasite, qui ne trouvent une plante sensible que dans un cas sur trois ou quatre. Un rapide calcul montre que le taux de multiplication du parasite est alors fortement diminué. </w:t>
      </w:r>
    </w:p>
    <w:p w:rsidR="008C6CF0" w:rsidRPr="00A61FF9" w:rsidRDefault="008C6CF0" w:rsidP="008C6CF0">
      <w:pPr>
        <w:pStyle w:val="bold"/>
      </w:pPr>
      <w:r w:rsidRPr="00A61FF9">
        <w:t>Résumé</w:t>
      </w:r>
    </w:p>
    <w:p w:rsidR="008C6CF0" w:rsidRPr="00A61FF9" w:rsidRDefault="008C6CF0" w:rsidP="00451173">
      <w:pPr>
        <w:pStyle w:val="NormalWeb"/>
      </w:pPr>
      <w:r w:rsidRPr="00A61FF9">
        <w:t xml:space="preserve">L’innovation thérapeutique ne peut aujourd’hui se concevoir sans les biotechnologies. Éclairages sur leur développement actuel, les perspectives à court terme, et la façon de dynamiser les biotechnologies dans le secteur de la santé. </w:t>
      </w:r>
    </w:p>
    <w:p w:rsidR="008C6CF0" w:rsidRPr="00A61FF9" w:rsidRDefault="008C6CF0" w:rsidP="008C6CF0">
      <w:pPr>
        <w:pStyle w:val="p-marge"/>
      </w:pPr>
      <w:r w:rsidRPr="00A61FF9">
        <w:t xml:space="preserve">Depuis le premier </w:t>
      </w:r>
      <w:r w:rsidR="00451173" w:rsidRPr="00A61FF9">
        <w:t>bio médicament</w:t>
      </w:r>
      <w:r w:rsidRPr="00A61FF9">
        <w:t xml:space="preserve"> </w:t>
      </w:r>
      <w:r w:rsidR="00451173">
        <w:t xml:space="preserve"> l.’insuline par ex. </w:t>
      </w:r>
      <w:r w:rsidRPr="00A61FF9">
        <w:t>commercialisé il y a moins de 30 ans, les biotechnologies se sont progressivement imposées comme un moteur majeur de la découverte de médicaments tout au long du cycle de leur développement et de leur production.</w:t>
      </w:r>
    </w:p>
    <w:p w:rsidR="008C6CF0" w:rsidRPr="00A61FF9" w:rsidRDefault="008C6CF0" w:rsidP="008C6CF0">
      <w:pPr>
        <w:pStyle w:val="Titre2"/>
        <w:rPr>
          <w:color w:val="auto"/>
        </w:rPr>
      </w:pPr>
      <w:bookmarkStart w:id="0" w:name="S1"/>
      <w:bookmarkEnd w:id="0"/>
      <w:r w:rsidRPr="00A61FF9">
        <w:rPr>
          <w:color w:val="auto"/>
        </w:rPr>
        <w:t>Biotechnologies : la base de l’arsenal de médicaments</w:t>
      </w:r>
    </w:p>
    <w:p w:rsidR="008C6CF0" w:rsidRPr="00A61FF9" w:rsidRDefault="008C6CF0" w:rsidP="008C6CF0">
      <w:pPr>
        <w:pStyle w:val="NormalWeb"/>
      </w:pPr>
      <w:r w:rsidRPr="00A61FF9">
        <w:t>Selon la définition proposée par l’OCDE : « les biotechnologies sont l’application de la science et de la technologie à des organismes vivants, de même qu’à ses composantes, produits et modélisations, pour modifier des matériaux vivants ou non vivants aux fins de la production de connaissances, de biens et de services ».</w:t>
      </w:r>
    </w:p>
    <w:p w:rsidR="008C6CF0" w:rsidRPr="00A61FF9" w:rsidRDefault="008C6CF0" w:rsidP="00DD3B06">
      <w:pPr>
        <w:pStyle w:val="NormalWeb"/>
      </w:pPr>
      <w:r w:rsidRPr="00A61FF9">
        <w:t>Tout d’abord, les biotechnologies ont permis de produire des médicaments que les méthodes industrielles classiques (extraction à partir d’organismes vivants, souvent des animaux, problèmes de purification, risque de contamination notamment virale) ne permettaient pas ou plus d’obtenir. C’est le cas par exemple de l’hormone de croissance ou des interférons</w:t>
      </w:r>
      <w:proofErr w:type="gramStart"/>
      <w:r w:rsidRPr="00A61FF9">
        <w:t>,.</w:t>
      </w:r>
      <w:proofErr w:type="gramEnd"/>
    </w:p>
    <w:p w:rsidR="008C6CF0" w:rsidRPr="00A61FF9" w:rsidRDefault="008C6CF0" w:rsidP="00451173">
      <w:pPr>
        <w:pStyle w:val="NormalWeb"/>
      </w:pPr>
      <w:r w:rsidRPr="00A61FF9">
        <w:t xml:space="preserve">Ensuite, avec le séquençage du génome de nombreux organismes vivants et notamment celui de l’homme, </w:t>
      </w:r>
      <w:r w:rsidRPr="00465ABD">
        <w:t xml:space="preserve">l’identification de nouveaux gènes, l’étude de leurs polymorphismes facilitée </w:t>
      </w:r>
      <w:r w:rsidR="00C52BBF">
        <w:t xml:space="preserve">par l’utilisation de </w:t>
      </w:r>
      <w:proofErr w:type="spellStart"/>
      <w:r w:rsidR="00C52BBF">
        <w:t>biopuces</w:t>
      </w:r>
      <w:proofErr w:type="spellEnd"/>
      <w:r w:rsidR="00C52BBF">
        <w:t xml:space="preserve"> = </w:t>
      </w:r>
      <w:r w:rsidRPr="00465ABD">
        <w:rPr>
          <w:color w:val="FF0000"/>
        </w:rPr>
        <w:t xml:space="preserve"> </w:t>
      </w:r>
      <w:r w:rsidR="00465ABD" w:rsidRPr="00465ABD">
        <w:rPr>
          <w:color w:val="FF0000"/>
        </w:rPr>
        <w:t xml:space="preserve"> support </w:t>
      </w:r>
      <w:proofErr w:type="spellStart"/>
      <w:r w:rsidR="00465ABD" w:rsidRPr="00465ABD">
        <w:rPr>
          <w:color w:val="FF0000"/>
        </w:rPr>
        <w:t>siliciun</w:t>
      </w:r>
      <w:proofErr w:type="spellEnd"/>
      <w:r w:rsidR="00C52BBF">
        <w:rPr>
          <w:color w:val="FF0000"/>
        </w:rPr>
        <w:t xml:space="preserve"> </w:t>
      </w:r>
      <w:r w:rsidR="00C52BBF" w:rsidRPr="00C52BBF">
        <w:t>de</w:t>
      </w:r>
      <w:r w:rsidR="00C52BBF">
        <w:rPr>
          <w:color w:val="FF0000"/>
        </w:rPr>
        <w:t xml:space="preserve"> </w:t>
      </w:r>
      <w:r w:rsidR="00465ABD">
        <w:t xml:space="preserve"> </w:t>
      </w:r>
      <w:r w:rsidRPr="00A61FF9">
        <w:t xml:space="preserve">plus en plus performantes, la découverte de nouveaux mécanismes moléculaires ont facilité la recherche de médicaments entièrement nouveaux. Ainsi, par exemple, la connaissance des gènes de virus et la compréhension des mécanismes de leur multiplication ont-elles permis de créer de nouveaux antiviraux basés sur les fonctions virales. </w:t>
      </w:r>
    </w:p>
    <w:p w:rsidR="008C6CF0" w:rsidRPr="00A61FF9" w:rsidRDefault="008C6CF0" w:rsidP="008C6CF0">
      <w:pPr>
        <w:pStyle w:val="Titre2"/>
        <w:rPr>
          <w:color w:val="auto"/>
        </w:rPr>
      </w:pPr>
      <w:r w:rsidRPr="00A61FF9">
        <w:rPr>
          <w:rFonts w:ascii="Times New Roman" w:eastAsia="Times New Roman" w:hAnsi="Times New Roman" w:cs="Times New Roman"/>
          <w:color w:val="auto"/>
          <w:sz w:val="24"/>
          <w:szCs w:val="24"/>
          <w:lang w:eastAsia="fr-CA"/>
        </w:rPr>
        <w:t xml:space="preserve"> </w:t>
      </w:r>
      <w:r w:rsidRPr="00A61FF9">
        <w:rPr>
          <w:color w:val="auto"/>
        </w:rPr>
        <w:t>Au-delà du médicament, de nouvelles perspectives thérapeutiques</w:t>
      </w:r>
    </w:p>
    <w:p w:rsidR="00DD3B06" w:rsidRDefault="008C6CF0" w:rsidP="00451173">
      <w:pPr>
        <w:pStyle w:val="NormalWeb"/>
      </w:pPr>
      <w:r w:rsidRPr="00A61FF9">
        <w:t>Le développement des biotechnologies a également fait émerger de nouveaux concepts thérapeutiques qui permettent d’envisager d’impo</w:t>
      </w:r>
      <w:r w:rsidR="00451173">
        <w:t xml:space="preserve">rtants progrès. </w:t>
      </w:r>
      <w:r w:rsidRPr="00A61FF9">
        <w:t xml:space="preserve">Testée dès le début des années 1990 avec de nombreux essais tant chez l’animal que chez l’homme, la thérapie génique a donné naissance au concept de « l’ADN médicament », validé par les premiers succès chez l’homme en 2000, avec le traitement « d’enfants bulles » atteints du syndrome d’immunodéficience combinée sévère lié au chromosome X, par le Pr Alain Fischer et son équipe à l’hôpital Necker à Paris. Malgré les difficultés de cette thérapie génique </w:t>
      </w:r>
      <w:r w:rsidRPr="00A61FF9">
        <w:rPr>
          <w:i/>
          <w:iCs/>
        </w:rPr>
        <w:t>ex vivo</w:t>
      </w:r>
      <w:r w:rsidRPr="00A61FF9">
        <w:t xml:space="preserve"> (avec réintroduction du gène normal par un rétrovirus dans les cellules de la moelle sanguine) et le potentiel par suite de l’insertion du </w:t>
      </w:r>
      <w:proofErr w:type="spellStart"/>
      <w:r w:rsidRPr="00A61FF9">
        <w:t>transgène</w:t>
      </w:r>
      <w:proofErr w:type="spellEnd"/>
      <w:r w:rsidRPr="00A61FF9">
        <w:t xml:space="preserve"> à proximité d’un oncogène, d’autres essais réussis sur trois autres pathologies voisines ont confirmé le potentiel de cette méthode. </w:t>
      </w:r>
    </w:p>
    <w:p w:rsidR="008C6CF0" w:rsidRPr="00A61FF9" w:rsidRDefault="008C6CF0" w:rsidP="00DD3B06">
      <w:pPr>
        <w:pStyle w:val="NormalWeb"/>
      </w:pPr>
      <w:r w:rsidRPr="00A61FF9">
        <w:t>Les thérapies cellulaires bénéficient du développement très rapide des études sur les cellules souches qui peuvent se multiplier indéfiniment, donc à grande échelle et se différencier. Elles ouvrent la voie à une médecine régénératrice capable, par le remplacement de cellules détruites, de rétablir le fonctionnement d’un organe. La démonstration du concept en clinique reste à faire.</w:t>
      </w:r>
    </w:p>
    <w:p w:rsidR="003B3EF0" w:rsidRPr="00A61FF9" w:rsidRDefault="008C6CF0" w:rsidP="003B3EF0">
      <w:pPr>
        <w:pStyle w:val="NormalWeb"/>
      </w:pPr>
      <w:r w:rsidRPr="00A61FF9">
        <w:t xml:space="preserve">La médecine prédictive devrait permettre de prévenir, voire de guérir certaines maladies grâce à une détection précoce de gènes de prédisposition, en cours d’identification grâce à l’analyse à grande échelle de milliers de génotypes sur de larges collections de patients, atteints par exemple </w:t>
      </w:r>
      <w:r w:rsidR="003B3EF0">
        <w:t>de différentes formes de cancer</w:t>
      </w:r>
    </w:p>
    <w:sectPr w:rsidR="003B3EF0" w:rsidRPr="00A61FF9" w:rsidSect="0079361D">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79361D"/>
    <w:rsid w:val="000522D8"/>
    <w:rsid w:val="00090AAC"/>
    <w:rsid w:val="00103016"/>
    <w:rsid w:val="0017307D"/>
    <w:rsid w:val="00183453"/>
    <w:rsid w:val="002458F4"/>
    <w:rsid w:val="00251918"/>
    <w:rsid w:val="00340886"/>
    <w:rsid w:val="003B3EF0"/>
    <w:rsid w:val="00451173"/>
    <w:rsid w:val="00465ABD"/>
    <w:rsid w:val="004E0FD0"/>
    <w:rsid w:val="004F3B0A"/>
    <w:rsid w:val="004F7ECC"/>
    <w:rsid w:val="00534277"/>
    <w:rsid w:val="005C068A"/>
    <w:rsid w:val="00637DC3"/>
    <w:rsid w:val="006C1652"/>
    <w:rsid w:val="006F311C"/>
    <w:rsid w:val="007438B2"/>
    <w:rsid w:val="0079361D"/>
    <w:rsid w:val="007D4E33"/>
    <w:rsid w:val="007D71BB"/>
    <w:rsid w:val="008C6CF0"/>
    <w:rsid w:val="00943269"/>
    <w:rsid w:val="00972996"/>
    <w:rsid w:val="00A61FF9"/>
    <w:rsid w:val="00A90C13"/>
    <w:rsid w:val="00A9465B"/>
    <w:rsid w:val="00B60580"/>
    <w:rsid w:val="00BF0C27"/>
    <w:rsid w:val="00C32D90"/>
    <w:rsid w:val="00C52BBF"/>
    <w:rsid w:val="00C81A57"/>
    <w:rsid w:val="00CD618A"/>
    <w:rsid w:val="00CE2B1A"/>
    <w:rsid w:val="00CF7ADC"/>
    <w:rsid w:val="00D13664"/>
    <w:rsid w:val="00DD3B06"/>
    <w:rsid w:val="00E3581F"/>
    <w:rsid w:val="00E824FD"/>
    <w:rsid w:val="00EC796E"/>
    <w:rsid w:val="00F67758"/>
  </w:rsids>
  <m:mathPr>
    <m:mathFont m:val="Cambria Math"/>
    <m:brkBin m:val="before"/>
    <m:brkBinSub m:val="--"/>
    <m:smallFrac m:val="off"/>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1C"/>
  </w:style>
  <w:style w:type="paragraph" w:styleId="Titre2">
    <w:name w:val="heading 2"/>
    <w:basedOn w:val="Normal"/>
    <w:next w:val="Normal"/>
    <w:link w:val="Titre2Car"/>
    <w:uiPriority w:val="9"/>
    <w:semiHidden/>
    <w:unhideWhenUsed/>
    <w:qFormat/>
    <w:rsid w:val="004E0F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79361D"/>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9361D"/>
    <w:rPr>
      <w:rFonts w:ascii="Times New Roman" w:eastAsia="Times New Roman" w:hAnsi="Times New Roman" w:cs="Times New Roman"/>
      <w:b/>
      <w:bCs/>
      <w:sz w:val="27"/>
      <w:szCs w:val="27"/>
      <w:lang w:eastAsia="fr-CA"/>
    </w:rPr>
  </w:style>
  <w:style w:type="paragraph" w:styleId="NormalWeb">
    <w:name w:val="Normal (Web)"/>
    <w:basedOn w:val="Normal"/>
    <w:uiPriority w:val="99"/>
    <w:unhideWhenUsed/>
    <w:rsid w:val="0079361D"/>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boite-repere">
    <w:name w:val="boite-repere"/>
    <w:basedOn w:val="Normal"/>
    <w:rsid w:val="0079361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79361D"/>
    <w:rPr>
      <w:b/>
      <w:bCs/>
    </w:rPr>
  </w:style>
  <w:style w:type="paragraph" w:customStyle="1" w:styleId="boite-exergue-gauche">
    <w:name w:val="boite-exergue-gauche"/>
    <w:basedOn w:val="Normal"/>
    <w:rsid w:val="0079361D"/>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boite-encart-droit">
    <w:name w:val="boite-encart-droit"/>
    <w:basedOn w:val="Normal"/>
    <w:rsid w:val="0079361D"/>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boite-encart-gauche">
    <w:name w:val="boite-encart-gauche"/>
    <w:basedOn w:val="Normal"/>
    <w:rsid w:val="0079361D"/>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boite-exergue-droit">
    <w:name w:val="boite-exergue-droit"/>
    <w:basedOn w:val="Normal"/>
    <w:rsid w:val="0079361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79361D"/>
    <w:rPr>
      <w:i/>
      <w:iCs/>
    </w:rPr>
  </w:style>
  <w:style w:type="paragraph" w:customStyle="1" w:styleId="boite-encart-complet">
    <w:name w:val="boite-encart-complet"/>
    <w:basedOn w:val="Normal"/>
    <w:rsid w:val="0079361D"/>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7936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61D"/>
    <w:rPr>
      <w:rFonts w:ascii="Tahoma" w:hAnsi="Tahoma" w:cs="Tahoma"/>
      <w:sz w:val="16"/>
      <w:szCs w:val="16"/>
    </w:rPr>
  </w:style>
  <w:style w:type="character" w:styleId="Lienhypertexte">
    <w:name w:val="Hyperlink"/>
    <w:basedOn w:val="Policepardfaut"/>
    <w:uiPriority w:val="99"/>
    <w:semiHidden/>
    <w:unhideWhenUsed/>
    <w:rsid w:val="00E824FD"/>
    <w:rPr>
      <w:color w:val="0000FF"/>
      <w:u w:val="single"/>
    </w:rPr>
  </w:style>
  <w:style w:type="character" w:customStyle="1" w:styleId="Titre2Car">
    <w:name w:val="Titre 2 Car"/>
    <w:basedOn w:val="Policepardfaut"/>
    <w:link w:val="Titre2"/>
    <w:uiPriority w:val="9"/>
    <w:semiHidden/>
    <w:rsid w:val="004E0FD0"/>
    <w:rPr>
      <w:rFonts w:asciiTheme="majorHAnsi" w:eastAsiaTheme="majorEastAsia" w:hAnsiTheme="majorHAnsi" w:cstheme="majorBidi"/>
      <w:b/>
      <w:bCs/>
      <w:color w:val="4F81BD" w:themeColor="accent1"/>
      <w:sz w:val="26"/>
      <w:szCs w:val="26"/>
    </w:rPr>
  </w:style>
  <w:style w:type="paragraph" w:customStyle="1" w:styleId="bold">
    <w:name w:val="bold"/>
    <w:basedOn w:val="Normal"/>
    <w:rsid w:val="004E0FD0"/>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p-marge">
    <w:name w:val="p-marge"/>
    <w:basedOn w:val="Normal"/>
    <w:rsid w:val="004E0FD0"/>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r="http://schemas.openxmlformats.org/officeDocument/2006/relationships" xmlns:w="http://schemas.openxmlformats.org/wordprocessingml/2006/main">
  <w:divs>
    <w:div w:id="285091024">
      <w:bodyDiv w:val="1"/>
      <w:marLeft w:val="0"/>
      <w:marRight w:val="0"/>
      <w:marTop w:val="0"/>
      <w:marBottom w:val="0"/>
      <w:divBdr>
        <w:top w:val="none" w:sz="0" w:space="0" w:color="auto"/>
        <w:left w:val="none" w:sz="0" w:space="0" w:color="auto"/>
        <w:bottom w:val="none" w:sz="0" w:space="0" w:color="auto"/>
        <w:right w:val="none" w:sz="0" w:space="0" w:color="auto"/>
      </w:divBdr>
      <w:divsChild>
        <w:div w:id="1820267985">
          <w:marLeft w:val="0"/>
          <w:marRight w:val="0"/>
          <w:marTop w:val="0"/>
          <w:marBottom w:val="0"/>
          <w:divBdr>
            <w:top w:val="none" w:sz="0" w:space="0" w:color="auto"/>
            <w:left w:val="none" w:sz="0" w:space="0" w:color="auto"/>
            <w:bottom w:val="none" w:sz="0" w:space="0" w:color="auto"/>
            <w:right w:val="none" w:sz="0" w:space="0" w:color="auto"/>
          </w:divBdr>
        </w:div>
        <w:div w:id="1890727544">
          <w:marLeft w:val="0"/>
          <w:marRight w:val="0"/>
          <w:marTop w:val="0"/>
          <w:marBottom w:val="0"/>
          <w:divBdr>
            <w:top w:val="none" w:sz="0" w:space="0" w:color="auto"/>
            <w:left w:val="none" w:sz="0" w:space="0" w:color="auto"/>
            <w:bottom w:val="none" w:sz="0" w:space="0" w:color="auto"/>
            <w:right w:val="none" w:sz="0" w:space="0" w:color="auto"/>
          </w:divBdr>
        </w:div>
        <w:div w:id="947782363">
          <w:marLeft w:val="0"/>
          <w:marRight w:val="0"/>
          <w:marTop w:val="0"/>
          <w:marBottom w:val="0"/>
          <w:divBdr>
            <w:top w:val="none" w:sz="0" w:space="0" w:color="auto"/>
            <w:left w:val="none" w:sz="0" w:space="0" w:color="auto"/>
            <w:bottom w:val="none" w:sz="0" w:space="0" w:color="auto"/>
            <w:right w:val="none" w:sz="0" w:space="0" w:color="auto"/>
          </w:divBdr>
        </w:div>
      </w:divsChild>
    </w:div>
    <w:div w:id="417678796">
      <w:bodyDiv w:val="1"/>
      <w:marLeft w:val="0"/>
      <w:marRight w:val="0"/>
      <w:marTop w:val="0"/>
      <w:marBottom w:val="0"/>
      <w:divBdr>
        <w:top w:val="none" w:sz="0" w:space="0" w:color="auto"/>
        <w:left w:val="none" w:sz="0" w:space="0" w:color="auto"/>
        <w:bottom w:val="none" w:sz="0" w:space="0" w:color="auto"/>
        <w:right w:val="none" w:sz="0" w:space="0" w:color="auto"/>
      </w:divBdr>
      <w:divsChild>
        <w:div w:id="1825394981">
          <w:marLeft w:val="0"/>
          <w:marRight w:val="0"/>
          <w:marTop w:val="0"/>
          <w:marBottom w:val="0"/>
          <w:divBdr>
            <w:top w:val="none" w:sz="0" w:space="0" w:color="auto"/>
            <w:left w:val="none" w:sz="0" w:space="0" w:color="auto"/>
            <w:bottom w:val="none" w:sz="0" w:space="0" w:color="auto"/>
            <w:right w:val="none" w:sz="0" w:space="0" w:color="auto"/>
          </w:divBdr>
          <w:divsChild>
            <w:div w:id="1576041697">
              <w:marLeft w:val="0"/>
              <w:marRight w:val="0"/>
              <w:marTop w:val="0"/>
              <w:marBottom w:val="0"/>
              <w:divBdr>
                <w:top w:val="none" w:sz="0" w:space="0" w:color="auto"/>
                <w:left w:val="none" w:sz="0" w:space="0" w:color="auto"/>
                <w:bottom w:val="none" w:sz="0" w:space="0" w:color="auto"/>
                <w:right w:val="none" w:sz="0" w:space="0" w:color="auto"/>
              </w:divBdr>
              <w:divsChild>
                <w:div w:id="7420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20260">
      <w:bodyDiv w:val="1"/>
      <w:marLeft w:val="0"/>
      <w:marRight w:val="0"/>
      <w:marTop w:val="0"/>
      <w:marBottom w:val="0"/>
      <w:divBdr>
        <w:top w:val="none" w:sz="0" w:space="0" w:color="auto"/>
        <w:left w:val="none" w:sz="0" w:space="0" w:color="auto"/>
        <w:bottom w:val="none" w:sz="0" w:space="0" w:color="auto"/>
        <w:right w:val="none" w:sz="0" w:space="0" w:color="auto"/>
      </w:divBdr>
    </w:div>
    <w:div w:id="798501215">
      <w:bodyDiv w:val="1"/>
      <w:marLeft w:val="0"/>
      <w:marRight w:val="0"/>
      <w:marTop w:val="0"/>
      <w:marBottom w:val="0"/>
      <w:divBdr>
        <w:top w:val="none" w:sz="0" w:space="0" w:color="auto"/>
        <w:left w:val="none" w:sz="0" w:space="0" w:color="auto"/>
        <w:bottom w:val="none" w:sz="0" w:space="0" w:color="auto"/>
        <w:right w:val="none" w:sz="0" w:space="0" w:color="auto"/>
      </w:divBdr>
    </w:div>
    <w:div w:id="811598502">
      <w:bodyDiv w:val="1"/>
      <w:marLeft w:val="0"/>
      <w:marRight w:val="0"/>
      <w:marTop w:val="0"/>
      <w:marBottom w:val="0"/>
      <w:divBdr>
        <w:top w:val="none" w:sz="0" w:space="0" w:color="auto"/>
        <w:left w:val="none" w:sz="0" w:space="0" w:color="auto"/>
        <w:bottom w:val="none" w:sz="0" w:space="0" w:color="auto"/>
        <w:right w:val="none" w:sz="0" w:space="0" w:color="auto"/>
      </w:divBdr>
      <w:divsChild>
        <w:div w:id="1351492508">
          <w:marLeft w:val="0"/>
          <w:marRight w:val="0"/>
          <w:marTop w:val="0"/>
          <w:marBottom w:val="0"/>
          <w:divBdr>
            <w:top w:val="none" w:sz="0" w:space="0" w:color="auto"/>
            <w:left w:val="none" w:sz="0" w:space="0" w:color="auto"/>
            <w:bottom w:val="none" w:sz="0" w:space="0" w:color="auto"/>
            <w:right w:val="none" w:sz="0" w:space="0" w:color="auto"/>
          </w:divBdr>
          <w:divsChild>
            <w:div w:id="1977027343">
              <w:marLeft w:val="0"/>
              <w:marRight w:val="0"/>
              <w:marTop w:val="0"/>
              <w:marBottom w:val="0"/>
              <w:divBdr>
                <w:top w:val="none" w:sz="0" w:space="0" w:color="auto"/>
                <w:left w:val="none" w:sz="0" w:space="0" w:color="auto"/>
                <w:bottom w:val="none" w:sz="0" w:space="0" w:color="auto"/>
                <w:right w:val="none" w:sz="0" w:space="0" w:color="auto"/>
              </w:divBdr>
              <w:divsChild>
                <w:div w:id="2042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559513">
      <w:bodyDiv w:val="1"/>
      <w:marLeft w:val="0"/>
      <w:marRight w:val="0"/>
      <w:marTop w:val="0"/>
      <w:marBottom w:val="0"/>
      <w:divBdr>
        <w:top w:val="none" w:sz="0" w:space="0" w:color="auto"/>
        <w:left w:val="none" w:sz="0" w:space="0" w:color="auto"/>
        <w:bottom w:val="none" w:sz="0" w:space="0" w:color="auto"/>
        <w:right w:val="none" w:sz="0" w:space="0" w:color="auto"/>
      </w:divBdr>
      <w:divsChild>
        <w:div w:id="937057004">
          <w:marLeft w:val="0"/>
          <w:marRight w:val="0"/>
          <w:marTop w:val="0"/>
          <w:marBottom w:val="0"/>
          <w:divBdr>
            <w:top w:val="none" w:sz="0" w:space="0" w:color="auto"/>
            <w:left w:val="none" w:sz="0" w:space="0" w:color="auto"/>
            <w:bottom w:val="none" w:sz="0" w:space="0" w:color="auto"/>
            <w:right w:val="none" w:sz="0" w:space="0" w:color="auto"/>
          </w:divBdr>
        </w:div>
      </w:divsChild>
    </w:div>
    <w:div w:id="1253467024">
      <w:bodyDiv w:val="1"/>
      <w:marLeft w:val="0"/>
      <w:marRight w:val="0"/>
      <w:marTop w:val="0"/>
      <w:marBottom w:val="0"/>
      <w:divBdr>
        <w:top w:val="none" w:sz="0" w:space="0" w:color="auto"/>
        <w:left w:val="none" w:sz="0" w:space="0" w:color="auto"/>
        <w:bottom w:val="none" w:sz="0" w:space="0" w:color="auto"/>
        <w:right w:val="none" w:sz="0" w:space="0" w:color="auto"/>
      </w:divBdr>
    </w:div>
    <w:div w:id="1259867352">
      <w:bodyDiv w:val="1"/>
      <w:marLeft w:val="0"/>
      <w:marRight w:val="0"/>
      <w:marTop w:val="0"/>
      <w:marBottom w:val="0"/>
      <w:divBdr>
        <w:top w:val="none" w:sz="0" w:space="0" w:color="auto"/>
        <w:left w:val="none" w:sz="0" w:space="0" w:color="auto"/>
        <w:bottom w:val="none" w:sz="0" w:space="0" w:color="auto"/>
        <w:right w:val="none" w:sz="0" w:space="0" w:color="auto"/>
      </w:divBdr>
      <w:divsChild>
        <w:div w:id="171457842">
          <w:marLeft w:val="0"/>
          <w:marRight w:val="0"/>
          <w:marTop w:val="0"/>
          <w:marBottom w:val="0"/>
          <w:divBdr>
            <w:top w:val="none" w:sz="0" w:space="0" w:color="auto"/>
            <w:left w:val="none" w:sz="0" w:space="0" w:color="auto"/>
            <w:bottom w:val="none" w:sz="0" w:space="0" w:color="auto"/>
            <w:right w:val="none" w:sz="0" w:space="0" w:color="auto"/>
          </w:divBdr>
          <w:divsChild>
            <w:div w:id="2142183089">
              <w:marLeft w:val="0"/>
              <w:marRight w:val="0"/>
              <w:marTop w:val="0"/>
              <w:marBottom w:val="0"/>
              <w:divBdr>
                <w:top w:val="none" w:sz="0" w:space="0" w:color="auto"/>
                <w:left w:val="none" w:sz="0" w:space="0" w:color="auto"/>
                <w:bottom w:val="none" w:sz="0" w:space="0" w:color="auto"/>
                <w:right w:val="none" w:sz="0" w:space="0" w:color="auto"/>
              </w:divBdr>
              <w:divsChild>
                <w:div w:id="5491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2537</Words>
  <Characters>13957</Characters>
  <Application>Microsoft Office Word</Application>
  <DocSecurity>0</DocSecurity>
  <Lines>116</Lines>
  <Paragraphs>32</Paragraphs>
  <ScaleCrop>false</ScaleCrop>
  <HeadingPairs>
    <vt:vector size="4" baseType="variant">
      <vt:variant>
        <vt:lpstr>Titre</vt:lpstr>
      </vt:variant>
      <vt:variant>
        <vt:i4>1</vt:i4>
      </vt:variant>
      <vt:variant>
        <vt:lpstr>Titres</vt:lpstr>
      </vt:variant>
      <vt:variant>
        <vt:i4>13</vt:i4>
      </vt:variant>
    </vt:vector>
  </HeadingPairs>
  <TitlesOfParts>
    <vt:vector size="14" baseType="lpstr">
      <vt:lpstr/>
      <vt:lpstr>        Les animaux malades de l’élevage</vt:lpstr>
      <vt:lpstr>        Surveiller et comprendre</vt:lpstr>
      <vt:lpstr>        Animal versus végétal</vt:lpstr>
      <vt:lpstr>        Pathologies évolutives</vt:lpstr>
      <vt:lpstr>        Prévenir et conseiller</vt:lpstr>
      <vt:lpstr>        Mécanismes de diffusion et de modélisation</vt:lpstr>
      <vt:lpstr>        Le cas de l’ESB</vt:lpstr>
      <vt:lpstr>        De la plante au paysage</vt:lpstr>
      <vt:lpstr>        Maîtriser le risque</vt:lpstr>
      <vt:lpstr>        Variétés résistantes</vt:lpstr>
      <vt:lpstr>        Une connaissance pour l’action</vt:lpstr>
      <vt:lpstr>    Biotechnologies : la base de l’arsenal de médicaments</vt:lpstr>
      <vt:lpstr>    Au-delà du médicament, de nouvelles perspectives thérapeutiques</vt:lpstr>
    </vt:vector>
  </TitlesOfParts>
  <Company>Toshiba</Company>
  <LinksUpToDate>false</LinksUpToDate>
  <CharactersWithSpaces>16462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Abdelouahed</dc:creator>
  <cp:lastModifiedBy>Abdelouahed</cp:lastModifiedBy>
  <cp:revision>24</cp:revision>
  <dcterms:created xsi:type="dcterms:W3CDTF">2020-04-08T07:09:00Z</dcterms:created>
  <dcterms:modified xsi:type="dcterms:W3CDTF">2020-09-03T09:40:00Z</dcterms:modified>
</cp:coreProperties>
</file>