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D" w:rsidRPr="0057114D" w:rsidRDefault="0057114D" w:rsidP="002951EB">
      <w:pPr>
        <w:pStyle w:val="En-tte"/>
        <w:bidi/>
        <w:spacing w:line="276" w:lineRule="auto"/>
        <w:ind w:left="-851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كلية الحقوق و العلوم السياسية</w:t>
      </w:r>
    </w:p>
    <w:p w:rsidR="0057114D" w:rsidRPr="0057114D" w:rsidRDefault="0057114D" w:rsidP="002951EB">
      <w:pPr>
        <w:pStyle w:val="En-tte"/>
        <w:bidi/>
        <w:spacing w:line="276" w:lineRule="auto"/>
        <w:ind w:left="-851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قسم القانون الخاص</w:t>
      </w:r>
    </w:p>
    <w:p w:rsidR="0057114D" w:rsidRPr="0057114D" w:rsidRDefault="0057114D" w:rsidP="002951EB">
      <w:pPr>
        <w:pStyle w:val="En-tte"/>
        <w:bidi/>
        <w:spacing w:line="276" w:lineRule="auto"/>
        <w:ind w:left="-851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السنة أولى </w:t>
      </w:r>
      <w:proofErr w:type="spellStart"/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ماستر،</w:t>
      </w:r>
      <w:proofErr w:type="spellEnd"/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تخصص قانون الأعمال</w:t>
      </w:r>
    </w:p>
    <w:p w:rsidR="0057114D" w:rsidRDefault="0057114D" w:rsidP="002951EB">
      <w:pPr>
        <w:pStyle w:val="En-tte"/>
        <w:bidi/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امتحان  </w:t>
      </w:r>
      <w:proofErr w:type="spellStart"/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مقياس</w:t>
      </w:r>
      <w:proofErr w:type="gramEnd"/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Pr="005711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منهجية البحث و التحليل في قانون الأعمال</w:t>
      </w:r>
    </w:p>
    <w:p w:rsidR="00DF1FB9" w:rsidRPr="00DF1FB9" w:rsidRDefault="00DF1FB9" w:rsidP="002951EB">
      <w:pPr>
        <w:pStyle w:val="En-tte"/>
        <w:bidi/>
        <w:spacing w:line="276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DF1FB9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الاجابة </w:t>
      </w:r>
      <w:r w:rsidRPr="00DF1FB9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النموذجية</w:t>
      </w:r>
    </w:p>
    <w:p w:rsidR="0057114D" w:rsidRPr="0057114D" w:rsidRDefault="0057114D" w:rsidP="002951EB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11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</w:t>
      </w:r>
      <w:proofErr w:type="spellStart"/>
      <w:r w:rsidRPr="0057114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spellEnd"/>
      <w:r w:rsidRPr="005711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علق على القرار القضائي أدناه متبعا في ذلك المنهجية العلمية المعتادة في اعداد هذا النوع من البحوث العلمية. </w:t>
      </w:r>
    </w:p>
    <w:p w:rsidR="0057114D" w:rsidRPr="0057114D" w:rsidRDefault="0057114D" w:rsidP="002951EB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Pr="005711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تبان النقاط القانونية التالية: </w:t>
      </w:r>
    </w:p>
    <w:p w:rsidR="0057114D" w:rsidRPr="009B713B" w:rsidRDefault="00DD63D4" w:rsidP="002951EB">
      <w:pPr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1</w:t>
      </w:r>
      <w:proofErr w:type="spellStart"/>
      <w:r w:rsidR="0057114D" w:rsidRPr="009B713B">
        <w:rPr>
          <w:rFonts w:ascii="Sakkal Majalla" w:hAnsi="Sakkal Majalla" w:cs="Sakkal Majalla"/>
          <w:b/>
          <w:bCs/>
          <w:sz w:val="40"/>
          <w:szCs w:val="40"/>
          <w:rtl/>
        </w:rPr>
        <w:t>-</w:t>
      </w:r>
      <w:proofErr w:type="spellEnd"/>
      <w:r w:rsidR="0057114D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="0057114D" w:rsidRPr="009B713B">
        <w:rPr>
          <w:rFonts w:ascii="Sakkal Majalla" w:hAnsi="Sakkal Majalla" w:cs="Sakkal Majalla"/>
          <w:b/>
          <w:bCs/>
          <w:sz w:val="40"/>
          <w:szCs w:val="40"/>
          <w:rtl/>
        </w:rPr>
        <w:t>الادعاءات</w:t>
      </w:r>
      <w:r w:rsidR="00DF1FB9" w:rsidRPr="009B713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r w:rsidR="00254A26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03</w:t>
      </w:r>
      <w:r w:rsidR="00816B4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نقاط</w:t>
      </w:r>
    </w:p>
    <w:p w:rsidR="00DF1FB9" w:rsidRPr="00816B46" w:rsidRDefault="00DF1FB9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816B46">
        <w:rPr>
          <w:rFonts w:ascii="Traditional Arabic" w:hAnsi="Traditional Arabic" w:cs="Traditional Arabic"/>
          <w:sz w:val="32"/>
          <w:szCs w:val="32"/>
          <w:rtl/>
        </w:rPr>
        <w:t>*</w:t>
      </w:r>
      <w:proofErr w:type="spellEnd"/>
      <w:r w:rsidRPr="00816B46">
        <w:rPr>
          <w:rFonts w:ascii="Traditional Arabic" w:hAnsi="Traditional Arabic" w:cs="Traditional Arabic"/>
          <w:sz w:val="32"/>
          <w:szCs w:val="32"/>
          <w:rtl/>
        </w:rPr>
        <w:t xml:space="preserve"> ادعاء السيد </w:t>
      </w:r>
      <w:r w:rsidR="00DD63D4">
        <w:rPr>
          <w:rFonts w:ascii="Traditional Arabic" w:hAnsi="Traditional Arabic" w:cs="Traditional Arabic" w:hint="cs"/>
          <w:sz w:val="32"/>
          <w:szCs w:val="32"/>
          <w:rtl/>
        </w:rPr>
        <w:t>قاسمي أحمد</w:t>
      </w:r>
      <w:r w:rsidRPr="00816B4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C26BE">
        <w:rPr>
          <w:rFonts w:ascii="Traditional Arabic" w:hAnsi="Traditional Arabic" w:cs="Traditional Arabic" w:hint="cs"/>
          <w:sz w:val="32"/>
          <w:szCs w:val="32"/>
          <w:rtl/>
        </w:rPr>
        <w:t>بعدم صحة انتقال</w:t>
      </w:r>
      <w:r w:rsidRPr="00816B4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حصة الشريك </w:t>
      </w:r>
      <w:proofErr w:type="spellStart"/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المتوفي</w:t>
      </w:r>
      <w:proofErr w:type="spellEnd"/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شركة التضامن إلى ورثة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ان الشركة لابد أن </w:t>
      </w:r>
      <w:proofErr w:type="spellStart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تنقضي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أن النزل وملحقاته كان حكرا على مورث في حياته و حتى بعد وفاته لم يتم استدعائه من طرف الورثة لحضور اشغال الجمعيات العامة و لم يشترك في الحسابات ولا يمكنه الاطلاع عليها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لم يتقاضى منذ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تأسيس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الشركة اية مبالغ مالية بعنوان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الأرباح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هو يطالب أيضا الى وضع الشركة قيد التصفية و تحديد ما لها و ما عليها من أرباح وخسائر</w:t>
      </w:r>
      <w:r w:rsidRPr="00816B4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DF1FB9" w:rsidRPr="00816B46" w:rsidRDefault="00DF1FB9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816B46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816B4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بالنسبة للمطعون </w:t>
      </w:r>
      <w:proofErr w:type="gramStart"/>
      <w:r w:rsidRPr="00816B4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ضدهم </w:t>
      </w:r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تمسكوا</w:t>
      </w:r>
      <w:proofErr w:type="gramEnd"/>
      <w:r w:rsidR="00DD63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بنص المادة 10 من القانون الأساسي للشركة التي أباحت و باتفاق الشركاء استمرار الشركة حتى بعد وفاة أحد الشركاء وفقا لما نص عليه الشطر الأخير من المادة 562 من ق.ت.</w:t>
      </w:r>
    </w:p>
    <w:p w:rsidR="0057114D" w:rsidRPr="009B713B" w:rsidRDefault="0057114D" w:rsidP="002951EB">
      <w:pPr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spellStart"/>
      <w:r w:rsidRPr="009B713B">
        <w:rPr>
          <w:rFonts w:ascii="Sakkal Majalla" w:hAnsi="Sakkal Majalla" w:cs="Sakkal Majalla"/>
          <w:b/>
          <w:bCs/>
          <w:sz w:val="40"/>
          <w:szCs w:val="40"/>
          <w:rtl/>
        </w:rPr>
        <w:t>3-</w:t>
      </w:r>
      <w:proofErr w:type="spellEnd"/>
      <w:r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الوقائع و </w:t>
      </w:r>
      <w:proofErr w:type="spellStart"/>
      <w:r w:rsidRPr="009B713B">
        <w:rPr>
          <w:rFonts w:ascii="Sakkal Majalla" w:hAnsi="Sakkal Majalla" w:cs="Sakkal Majalla"/>
          <w:b/>
          <w:bCs/>
          <w:sz w:val="40"/>
          <w:szCs w:val="40"/>
          <w:rtl/>
        </w:rPr>
        <w:t>الاجراءات</w:t>
      </w:r>
      <w:r w:rsidR="00DF1FB9" w:rsidRPr="009B713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r w:rsidR="00254A26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8C26BE">
        <w:rPr>
          <w:rFonts w:ascii="Sakkal Majalla" w:hAnsi="Sakkal Majalla" w:cs="Sakkal Majalla" w:hint="cs"/>
          <w:b/>
          <w:bCs/>
          <w:sz w:val="40"/>
          <w:szCs w:val="40"/>
          <w:rtl/>
        </w:rPr>
        <w:t>03</w:t>
      </w:r>
      <w:r w:rsidR="00816B46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="00816B4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نقاط</w:t>
      </w:r>
    </w:p>
    <w:p w:rsidR="00DF1FB9" w:rsidRPr="009B713B" w:rsidRDefault="00457F6A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</w:rPr>
        <w:t xml:space="preserve"> رفع السيد  </w:t>
      </w:r>
      <w:r w:rsidR="008C26BE">
        <w:rPr>
          <w:rFonts w:ascii="Traditional Arabic" w:hAnsi="Traditional Arabic" w:cs="Traditional Arabic" w:hint="cs"/>
          <w:sz w:val="32"/>
          <w:szCs w:val="32"/>
          <w:rtl/>
        </w:rPr>
        <w:t>قاسمي أحمد</w:t>
      </w:r>
      <w:r w:rsidRPr="009B713B">
        <w:rPr>
          <w:rFonts w:ascii="Traditional Arabic" w:hAnsi="Traditional Arabic" w:cs="Traditional Arabic"/>
          <w:sz w:val="32"/>
          <w:szCs w:val="32"/>
          <w:rtl/>
        </w:rPr>
        <w:t xml:space="preserve"> دعوى قضائية أمام القسم التجاري بمحكمة </w:t>
      </w:r>
      <w:r w:rsidR="008C26BE">
        <w:rPr>
          <w:rFonts w:ascii="Traditional Arabic" w:hAnsi="Traditional Arabic" w:cs="Traditional Arabic" w:hint="cs"/>
          <w:sz w:val="32"/>
          <w:szCs w:val="32"/>
          <w:rtl/>
        </w:rPr>
        <w:t>الشلف</w:t>
      </w:r>
      <w:r w:rsidRPr="009B713B">
        <w:rPr>
          <w:rFonts w:ascii="Traditional Arabic" w:hAnsi="Traditional Arabic" w:cs="Traditional Arabic"/>
          <w:sz w:val="32"/>
          <w:szCs w:val="32"/>
          <w:rtl/>
        </w:rPr>
        <w:t xml:space="preserve"> ضد </w:t>
      </w:r>
      <w:r w:rsidR="008C26BE">
        <w:rPr>
          <w:rFonts w:ascii="Traditional Arabic" w:hAnsi="Traditional Arabic" w:cs="Traditional Arabic" w:hint="cs"/>
          <w:sz w:val="32"/>
          <w:szCs w:val="32"/>
          <w:rtl/>
        </w:rPr>
        <w:t>ورثة قاسمي محمد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أجل المطالبة من أجل المطالبة </w:t>
      </w:r>
      <w:proofErr w:type="spellStart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بابطال</w:t>
      </w:r>
      <w:proofErr w:type="spellEnd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عملية انتقال حصص من الشريك </w:t>
      </w:r>
      <w:proofErr w:type="spellStart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المتوفي</w:t>
      </w:r>
      <w:proofErr w:type="spellEnd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الى ورثته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8C26BE" w:rsidRDefault="00457F6A" w:rsidP="002951EB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صدر عن محكمة سطيف القسم التجاري بتاريخ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15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05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2016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قضى ابتدائيا علنيا حضوريا </w:t>
      </w:r>
    </w:p>
    <w:p w:rsidR="00457F6A" w:rsidRPr="009B713B" w:rsidRDefault="00457F6A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الشكل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قبول الدعوى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شكلا،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الموضوع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رفض الدعوى لعدم التأسيس.</w:t>
      </w:r>
    </w:p>
    <w:p w:rsidR="008C26BE" w:rsidRDefault="00457F6A" w:rsidP="002951EB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استئناف الحكم الصادر عن محكمة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الشلف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طرف السيد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قاسمي أحمد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أمام الغرفة التجارية و البحرية بمجلس قضاء </w:t>
      </w:r>
      <w:proofErr w:type="spellStart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شلف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التي أصدرت قرار بتاريخ </w:t>
      </w:r>
      <w:proofErr w:type="spellStart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05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/11/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2016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فهرس رقم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3235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16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قضى ب:</w:t>
      </w:r>
    </w:p>
    <w:p w:rsidR="00457F6A" w:rsidRPr="009B713B" w:rsidRDefault="00457F6A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 في </w:t>
      </w:r>
      <w:proofErr w:type="gram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الشكل :</w:t>
      </w:r>
      <w:proofErr w:type="gram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قبول الاستئناف. في الموضوع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C26BE" w:rsidRPr="009B71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تأييد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الحكم المستأنف فيه.</w:t>
      </w:r>
    </w:p>
    <w:p w:rsidR="00457F6A" w:rsidRPr="009B713B" w:rsidRDefault="00457F6A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الطعن بالنقض في القرار الصادر عن مجلس قضاء </w:t>
      </w:r>
      <w:proofErr w:type="spellStart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شلف</w:t>
      </w:r>
      <w:proofErr w:type="spellEnd"/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 طرف السيد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قاسمي أحمد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أمام الغرفة التجارية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البحرية للمحكمة العليا بتاريخ 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10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01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8C2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2017</w:t>
      </w:r>
      <w:r w:rsidR="004D033D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4D033D" w:rsidRDefault="004D033D" w:rsidP="002951EB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ايداع الطاعن بواسطة محامي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الأستاذ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ناجي </w:t>
      </w:r>
      <w:proofErr w:type="spellStart"/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يمينة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عريضة طعن بالنقض تتضمن وجه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وحيد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للطعن تدعيما لطعنه بالنقض.</w:t>
      </w:r>
    </w:p>
    <w:p w:rsidR="00BE58F9" w:rsidRPr="009B713B" w:rsidRDefault="00BE58F9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تقديم المطعون ضدهم مذكرة جواب بواسطة محاميهم الأستاذ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قولال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محمد ملتمسين من خلالها رفض الطعن موضوعا.</w:t>
      </w:r>
    </w:p>
    <w:p w:rsidR="003C15EB" w:rsidRPr="009B713B" w:rsidRDefault="003C15EB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قدمت المحامية العامة لدى المحكمة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العليا،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طالباتها المكتوبة الرامية إلى 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رفض الطعن موضوعا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BE58F9" w:rsidRDefault="004D033D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صدور قرار</w:t>
      </w:r>
      <w:r w:rsidR="00BD77D9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طرف الغرفة التجارية و البحرية للمحكمة العليا بتاريخ 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11</w:t>
      </w:r>
      <w:r w:rsidR="00BD77D9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10</w:t>
      </w:r>
      <w:r w:rsidR="00BD77D9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2018</w:t>
      </w:r>
      <w:r w:rsidR="00BD77D9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قضى ب</w:t>
      </w:r>
      <w:r w:rsidR="00BE5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BD77D9" w:rsidRPr="009B713B" w:rsidRDefault="00BD77D9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</w:t>
      </w:r>
      <w:proofErr w:type="gram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الشكل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proofErr w:type="gram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قبول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الطعن،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الموضوع </w:t>
      </w:r>
      <w:proofErr w:type="spellStart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رفضه موضوعا</w:t>
      </w:r>
      <w:r w:rsidR="003C15E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57114D" w:rsidRPr="009B713B" w:rsidRDefault="0057114D" w:rsidP="002951EB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spellStart"/>
      <w:r w:rsidRPr="009B713B">
        <w:rPr>
          <w:rFonts w:ascii="Sakkal Majalla" w:hAnsi="Sakkal Majalla" w:cs="Sakkal Majalla"/>
          <w:b/>
          <w:bCs/>
          <w:sz w:val="40"/>
          <w:szCs w:val="40"/>
          <w:rtl/>
        </w:rPr>
        <w:t>4-</w:t>
      </w:r>
      <w:proofErr w:type="spellEnd"/>
      <w:r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BD77D9" w:rsidRPr="009B713B">
        <w:rPr>
          <w:rFonts w:ascii="Sakkal Majalla" w:hAnsi="Sakkal Majalla" w:cs="Sakkal Majalla"/>
          <w:b/>
          <w:bCs/>
          <w:sz w:val="40"/>
          <w:szCs w:val="40"/>
          <w:rtl/>
        </w:rPr>
        <w:t>المشكل القانوني</w:t>
      </w:r>
      <w:r w:rsidR="00254A26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="00254A26" w:rsidRPr="009B713B">
        <w:rPr>
          <w:rFonts w:ascii="Sakkal Majalla" w:hAnsi="Sakkal Majalla" w:cs="Sakkal Majalla"/>
          <w:b/>
          <w:bCs/>
          <w:sz w:val="40"/>
          <w:szCs w:val="40"/>
          <w:rtl/>
        </w:rPr>
        <w:t>+</w:t>
      </w:r>
      <w:proofErr w:type="spellEnd"/>
      <w:r w:rsidR="00254A26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التصريح </w:t>
      </w:r>
      <w:proofErr w:type="gramStart"/>
      <w:r w:rsidR="00254A26" w:rsidRPr="009B713B">
        <w:rPr>
          <w:rFonts w:ascii="Sakkal Majalla" w:hAnsi="Sakkal Majalla" w:cs="Sakkal Majalla"/>
          <w:b/>
          <w:bCs/>
          <w:sz w:val="40"/>
          <w:szCs w:val="40"/>
          <w:rtl/>
        </w:rPr>
        <w:t>بالخطة</w:t>
      </w:r>
      <w:r w:rsidR="00BD77D9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="00BD77D9" w:rsidRPr="009B713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proofErr w:type="gramEnd"/>
      <w:r w:rsidR="00BD77D9" w:rsidRPr="009B71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BE58F9">
        <w:rPr>
          <w:rFonts w:ascii="Sakkal Majalla" w:hAnsi="Sakkal Majalla" w:cs="Sakkal Majalla" w:hint="cs"/>
          <w:b/>
          <w:bCs/>
          <w:sz w:val="40"/>
          <w:szCs w:val="40"/>
          <w:rtl/>
        </w:rPr>
        <w:t>14</w:t>
      </w:r>
      <w:r w:rsidR="00816B4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نقاط</w:t>
      </w:r>
    </w:p>
    <w:p w:rsidR="00BD77D9" w:rsidRPr="009B713B" w:rsidRDefault="00BD77D9" w:rsidP="002951EB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B713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ما هي </w:t>
      </w:r>
      <w:r w:rsidR="00254A26" w:rsidRPr="009B713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الشروط المطلوبة قانونا </w:t>
      </w:r>
      <w:r w:rsidR="005533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لانتقال حصة الشريك </w:t>
      </w:r>
      <w:proofErr w:type="spellStart"/>
      <w:r w:rsidR="005533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المتوفي</w:t>
      </w:r>
      <w:proofErr w:type="spellEnd"/>
      <w:r w:rsidR="005533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الى ورثته في شركة التضامن</w:t>
      </w:r>
      <w:proofErr w:type="spellStart"/>
      <w:r w:rsidR="00254A26" w:rsidRPr="009B713B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proofErr w:type="spellEnd"/>
      <w:r w:rsidR="00254A26" w:rsidRPr="009B713B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5533E5" w:rsidRPr="009B713B" w:rsidRDefault="003C15EB" w:rsidP="002951E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proofErr w:type="gramStart"/>
      <w:r w:rsidRPr="009B713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مقدمة</w:t>
      </w:r>
      <w:proofErr w:type="gramEnd"/>
      <w:r w:rsidRPr="009B713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5533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04 نقاط</w:t>
      </w:r>
    </w:p>
    <w:p w:rsidR="005533E5" w:rsidRDefault="005533E5" w:rsidP="002951EB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تعريف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شركة التضامن</w:t>
      </w:r>
    </w:p>
    <w:p w:rsidR="005533E5" w:rsidRDefault="005533E5" w:rsidP="002951EB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التعرض الى مفهوم الاعتبار الشخصي في هذا نوع من الشركات</w:t>
      </w:r>
    </w:p>
    <w:p w:rsidR="005533E5" w:rsidRDefault="005533E5" w:rsidP="002951EB">
      <w:p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-تعريف الحصة و أنواعها</w:t>
      </w:r>
    </w:p>
    <w:p w:rsidR="002A38D2" w:rsidRPr="009B713B" w:rsidRDefault="005533E5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طرح الاشكالية</w:t>
      </w:r>
      <w:r w:rsidR="002A38D2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2A38D2" w:rsidRPr="005533E5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="002A38D2" w:rsidRPr="005533E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533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ما هي الشروط المطلوبة قانونا </w:t>
      </w:r>
      <w:r w:rsidRPr="005533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لانتقال حصة الشريك </w:t>
      </w:r>
      <w:proofErr w:type="spellStart"/>
      <w:r w:rsidRPr="005533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المتوفي</w:t>
      </w:r>
      <w:proofErr w:type="spellEnd"/>
      <w:r w:rsidRPr="005533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الى ورثته في شركة التضامن</w:t>
      </w:r>
      <w:proofErr w:type="spellStart"/>
      <w:r w:rsidRPr="005533E5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proofErr w:type="spellEnd"/>
      <w:r w:rsidRPr="005533E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9B713B" w:rsidRPr="009B713B" w:rsidRDefault="002A38D2" w:rsidP="002951EB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للإجابة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هذه الاشكالية 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ارتأينا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تقسيم خطة التعليق على هذا القرار ال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ى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مطلبين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تناولنا</w:t>
      </w:r>
      <w:r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المطلب الأول </w:t>
      </w:r>
      <w:r w:rsidR="005533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قاعدة اجماع الشركاء و استثناءات الواردة </w:t>
      </w:r>
      <w:proofErr w:type="spellStart"/>
      <w:r w:rsidR="005533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عليها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</w:t>
      </w:r>
      <w:r w:rsidR="005533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الشرط الاستمرارية</w:t>
      </w:r>
      <w:r w:rsidR="009B713B" w:rsidRPr="009B71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المطلب الثاني.</w:t>
      </w:r>
    </w:p>
    <w:p w:rsidR="003C15EB" w:rsidRPr="002951EB" w:rsidRDefault="005533E5" w:rsidP="002951EB">
      <w:pPr>
        <w:bidi/>
        <w:spacing w:after="0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 w:rsidRPr="002951E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</w:t>
      </w:r>
      <w:r w:rsidR="003C15EB"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المطلب </w:t>
      </w:r>
      <w:proofErr w:type="spellStart"/>
      <w:r w:rsidR="003C15EB"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الأول:</w:t>
      </w:r>
      <w:proofErr w:type="spellEnd"/>
      <w:r w:rsidR="003C15EB"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2951E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قاعدة اجماع الشركاء و الاستثناءات الواردة عليها 05 نقاط</w:t>
      </w:r>
    </w:p>
    <w:p w:rsidR="005533E5" w:rsidRPr="002951EB" w:rsidRDefault="005533E5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شركة التضامن تقوم على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عتبار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الشخصي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لشركاء،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هذه الصفة تمس طبيعة الشركة و مصلحة الشركاء على حد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سواء،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كونهم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رتضوا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البداية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لتزام</w:t>
      </w:r>
      <w:proofErr w:type="spellEnd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الشركة على هذا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عتبار،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بالتالي لا يمكن لأي شريك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 يتنازل عن حصته لشخص من خارج الشركة دون موافقة جميع الشركاء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533E5" w:rsidRPr="002951EB" w:rsidRDefault="005533E5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</w:t>
      </w:r>
      <w:proofErr w:type="spellEnd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 قاعدة 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جماع في حد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ذاتها،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تعني موافقة جميع الشركاء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ستثناء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الشريك المتضامن المعني بعملية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الإحالة،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هذا مراعاة لقاعدة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لتزام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الشريك بتفادي وضعية تنازع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المصالح،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كان في هذه الحالة تكون هذه الأخيرة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مستبعدة،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قبول الشريك المحيل بالعملية لا يغني عن قبول بقية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الشركاء،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بالتالي ف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مشاركته في قرار الموافقة لن يشكل أي مساس بمصلحة الشركة. و لا يجوز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تفاق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حد من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جماع،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حتى بوضع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غلبية مشددة بغرض إحالة حصص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الشركاء،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ذلك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 قاعدة 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جماع هي التي تكرس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عتبار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الشخصي للشركاء في هذا نوع من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الشركات،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هي مرتبطة بشكل مباشر بضمان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ستقرار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بقاء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لشركاء في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من ثم الغرض منها هو حماية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ئتمان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التجاري،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والمجسد في المسؤولية التضامنية و الغير محدودة لشركاء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533E5" w:rsidRDefault="005533E5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قاعدة عدم جواز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نتقال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حصة الشريك المتضامن ليست من النظام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العام،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وعليه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فيمكن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للشركاء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يضمنوا القانون الأساسي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لشركة،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لية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نتقال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حصة الشريك ضمن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ظوابط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وشروط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محددة،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لكن ليس لهم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يضمنوا القانون الأساسي ما يفيد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نتقال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حصة الشريك دون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قيود،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يشترطوا موافقة الأغلبية بدل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الاجماع،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هذا مأخذ به المشرع الجزائري</w:t>
      </w:r>
      <w:r w:rsid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951EB" w:rsidRPr="002951EB" w:rsidRDefault="002951EB" w:rsidP="002951EB">
      <w:pPr>
        <w:tabs>
          <w:tab w:val="left" w:pos="8235"/>
        </w:tabs>
        <w:bidi/>
        <w:spacing w:after="0"/>
        <w:jc w:val="center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</w:pPr>
      <w:proofErr w:type="spellStart"/>
      <w:r w:rsidRPr="002951E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End"/>
      <w:r w:rsidRPr="002951E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إبداء الرأي الشخصي</w:t>
      </w:r>
      <w:proofErr w:type="spellStart"/>
      <w:r w:rsidRPr="002951E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)</w:t>
      </w:r>
      <w:proofErr w:type="spellEnd"/>
      <w:r w:rsidRPr="002951E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02 نقاط</w:t>
      </w:r>
    </w:p>
    <w:p w:rsidR="00816B46" w:rsidRPr="002951EB" w:rsidRDefault="003C15EB" w:rsidP="002951EB">
      <w:pPr>
        <w:bidi/>
        <w:spacing w:after="0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2951EB">
        <w:rPr>
          <w:rFonts w:ascii="Traditional Arabic" w:hAnsi="Traditional Arabic" w:cs="Traditional Arabic"/>
          <w:sz w:val="40"/>
          <w:szCs w:val="40"/>
          <w:lang w:bidi="ar-DZ"/>
        </w:rPr>
        <w:t>    </w:t>
      </w:r>
      <w:proofErr w:type="gramStart"/>
      <w:r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المطلب</w:t>
      </w:r>
      <w:proofErr w:type="gramEnd"/>
      <w:r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الثاني:</w:t>
      </w:r>
      <w:proofErr w:type="spellEnd"/>
      <w:r w:rsidRPr="002951E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5533E5" w:rsidRPr="002951E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شرط استمرار الشركة المنصوص عليه في القانون الأساسي للشركة. 05 </w:t>
      </w:r>
      <w:proofErr w:type="gramStart"/>
      <w:r w:rsidR="005533E5" w:rsidRPr="002951E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نقاط</w:t>
      </w:r>
      <w:proofErr w:type="gramEnd"/>
    </w:p>
    <w:p w:rsidR="002951EB" w:rsidRDefault="002951EB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ما فيما يتعلق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نتقال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الحصص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لى ورثة الشريك فأنه يجوز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تفاق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مخالفة قاعد 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جماع لأنها ليست من النظام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العام،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فحصة الشريك إذا كانت غير قابلة للتنازل عنها للغير أي للأجنبي عن الشركة إلا بموافقة جميع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الشركاء،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المشرع أجاز التنازل عن الحصة في شركة التضامن وأفسح المجال للشركاء كي يتضمن العقد التأسيسي للشركة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إنتقال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حصة الشريك إلى الورثة في حالة وفاته إذا رغب الشركاء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بال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ستمرار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الشركة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هذا ما يسمى بشرط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ستمرار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951EB" w:rsidRDefault="002951EB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يجوز أيضا لشركاء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يضمنو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شرط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خر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لا وهو شرط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ختيار،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الذي يسمح لشركاء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يختارو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حد الحلول المتمثلة في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ما حل الشركة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تصفيتها،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بقاء الشركة دون ورثة الشريك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المتوفي،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ستمرارها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 الورثة و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ذا لم يقم الشركاء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بال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ختيار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مدة معينة تحدد في القانون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الأساسي،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الشركة تستمر بين بقة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الشركاء،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تحل نهائيا حسب ما هو مقرر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قانونا،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وهذا يعد تكريسا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لل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عتبار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الشخصي بمقتضى بنود القانون الأساسي. ولعل المشرع أراد أن يحافظ على هذه البنية الإقتصادية حتى لا تزول بمجرد وفاة أحد الشركاء هذا من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جهة،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ومن جهة 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أخرى نلاحظ أن المشرع راعى حماية الورثة القصر وجعل مسؤوليتهم في الشركة مسؤولية محدودة تقدر بحصة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مورثهم،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وهذا يعني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نه سوف يصبح شريكا متضامنا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مسؤولا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بغير تحديد و بالتضامن عن ديون الشركة عند بلوغه سن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الرشد،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عكس ما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خذ به المشرع الفرنسي الذي فرض تحول الشركة في مثل هذه الحالة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لى شركة توصية بسيطة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حلها في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جل سنة من تاريخ وفاة الشريك المتضامن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951EB" w:rsidRDefault="002951EB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أجاز القانون أن ينص الشركاء في القانون الأساسي للشركة على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إستمرارها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حالة إفلاس أحد الشركاء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فقدانه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للأهلية وفي هذه الحالة يتم تعيين حقوق الشريك وتقرير قيمتها في يوم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إتخاذ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قرار عزله من الشركة ويقدر القيمة خبير معتمد يعينه الأطراف أو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محمكة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تقع في دائر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</w:t>
      </w:r>
      <w:proofErr w:type="spellStart"/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إختصاصها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مقر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الشركة في حالة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إختلاف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الأطراف في تعيين الخبير وكل شرط أو إجراء يخالف ذلك لا يحتج به في مواجهة دائني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الشركة،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يجب الإشارة أيضا </w:t>
      </w:r>
      <w:r w:rsidRPr="002951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 التنازل عن الحصة لا يسري في مواجهة الغير إلا بعد </w:t>
      </w:r>
      <w:proofErr w:type="spellStart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>إتخاذ</w:t>
      </w:r>
      <w:proofErr w:type="spellEnd"/>
      <w:r w:rsidRPr="002951E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إجراء الشهر التي تفيد هذا التنازل.</w:t>
      </w:r>
    </w:p>
    <w:p w:rsidR="002951EB" w:rsidRPr="002951EB" w:rsidRDefault="002951EB" w:rsidP="002951EB">
      <w:pPr>
        <w:tabs>
          <w:tab w:val="left" w:pos="8235"/>
        </w:tabs>
        <w:bidi/>
        <w:spacing w:after="0"/>
        <w:jc w:val="center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</w:pPr>
      <w:proofErr w:type="spellStart"/>
      <w:r w:rsidRPr="002951E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End"/>
      <w:r w:rsidRPr="002951E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إبداء الرأي الشخصي</w:t>
      </w:r>
      <w:proofErr w:type="spellStart"/>
      <w:r w:rsidRPr="002951E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Pr="002951E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02 نقاط</w:t>
      </w:r>
    </w:p>
    <w:p w:rsidR="002951EB" w:rsidRPr="002951EB" w:rsidRDefault="002951EB" w:rsidP="002951EB">
      <w:pPr>
        <w:tabs>
          <w:tab w:val="left" w:pos="8235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816B46" w:rsidRDefault="00816B46" w:rsidP="002951EB">
      <w:pPr>
        <w:jc w:val="right"/>
        <w:rPr>
          <w:rtl/>
          <w:lang w:bidi="ar-DZ"/>
        </w:rPr>
      </w:pPr>
    </w:p>
    <w:p w:rsidR="00816B46" w:rsidRDefault="00816B46" w:rsidP="002951EB">
      <w:pPr>
        <w:jc w:val="right"/>
        <w:rPr>
          <w:rtl/>
        </w:rPr>
      </w:pPr>
    </w:p>
    <w:p w:rsidR="00816B46" w:rsidRDefault="00816B46" w:rsidP="002951EB">
      <w:pPr>
        <w:jc w:val="right"/>
        <w:rPr>
          <w:rtl/>
        </w:rPr>
      </w:pPr>
    </w:p>
    <w:p w:rsidR="00816B46" w:rsidRDefault="00816B46" w:rsidP="002951EB">
      <w:pPr>
        <w:jc w:val="right"/>
        <w:rPr>
          <w:rtl/>
        </w:rPr>
      </w:pPr>
    </w:p>
    <w:p w:rsidR="00816B46" w:rsidRDefault="00816B46" w:rsidP="002951EB">
      <w:pPr>
        <w:jc w:val="right"/>
        <w:rPr>
          <w:rtl/>
        </w:rPr>
      </w:pPr>
    </w:p>
    <w:p w:rsidR="00816B46" w:rsidRDefault="00816B46" w:rsidP="002951EB">
      <w:pPr>
        <w:jc w:val="right"/>
        <w:rPr>
          <w:rtl/>
        </w:rPr>
      </w:pPr>
    </w:p>
    <w:p w:rsidR="00816B46" w:rsidRDefault="00816B46" w:rsidP="002951EB">
      <w:pPr>
        <w:jc w:val="right"/>
        <w:rPr>
          <w:rtl/>
        </w:rPr>
      </w:pPr>
    </w:p>
    <w:p w:rsidR="00816B46" w:rsidRDefault="00816B46" w:rsidP="002951EB"/>
    <w:sectPr w:rsidR="00816B46" w:rsidSect="00816B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reeDEmboss" w:sz="24" w:space="24" w:color="A6A6A6" w:themeColor="background1" w:themeShade="A6"/>
        <w:left w:val="threeDEmboss" w:sz="24" w:space="24" w:color="A6A6A6" w:themeColor="background1" w:themeShade="A6"/>
        <w:bottom w:val="threeDEmboss" w:sz="24" w:space="24" w:color="A6A6A6" w:themeColor="background1" w:themeShade="A6"/>
        <w:right w:val="threeDEmboss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C5" w:rsidRDefault="00C160C5" w:rsidP="00816B46">
      <w:pPr>
        <w:spacing w:after="0" w:line="240" w:lineRule="auto"/>
      </w:pPr>
      <w:r>
        <w:separator/>
      </w:r>
    </w:p>
  </w:endnote>
  <w:endnote w:type="continuationSeparator" w:id="0">
    <w:p w:rsidR="00C160C5" w:rsidRDefault="00C160C5" w:rsidP="0081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741"/>
      <w:docPartObj>
        <w:docPartGallery w:val="Page Numbers (Bottom of Page)"/>
        <w:docPartUnique/>
      </w:docPartObj>
    </w:sdtPr>
    <w:sdtContent>
      <w:p w:rsidR="00816B46" w:rsidRDefault="00DA5FA2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09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097">
                <w:txbxContent>
                  <w:p w:rsidR="00816B46" w:rsidRDefault="00DA5FA2">
                    <w:pPr>
                      <w:jc w:val="center"/>
                    </w:pPr>
                    <w:fldSimple w:instr=" PAGE    \* MERGEFORMAT ">
                      <w:r w:rsidR="002951EB" w:rsidRPr="002951EB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C5" w:rsidRDefault="00C160C5" w:rsidP="00816B46">
      <w:pPr>
        <w:spacing w:after="0" w:line="240" w:lineRule="auto"/>
      </w:pPr>
      <w:r>
        <w:separator/>
      </w:r>
    </w:p>
  </w:footnote>
  <w:footnote w:type="continuationSeparator" w:id="0">
    <w:p w:rsidR="00C160C5" w:rsidRDefault="00C160C5" w:rsidP="0081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46" w:rsidRPr="00816B46" w:rsidRDefault="00816B46" w:rsidP="005533E5">
    <w:pPr>
      <w:pStyle w:val="En-tte"/>
      <w:bidi/>
      <w:rPr>
        <w:rFonts w:ascii="Segoe UI" w:hAnsi="Segoe UI" w:cs="Segoe UI"/>
        <w:b/>
        <w:bCs/>
        <w:u w:val="single"/>
        <w:lang w:bidi="ar-DZ"/>
      </w:rPr>
    </w:pPr>
    <w:r w:rsidRPr="00816B46">
      <w:rPr>
        <w:rFonts w:ascii="Segoe UI" w:hAnsi="Segoe UI" w:cs="Segoe UI"/>
        <w:b/>
        <w:bCs/>
        <w:highlight w:val="lightGray"/>
        <w:u w:val="single"/>
        <w:rtl/>
        <w:lang w:bidi="ar-DZ"/>
      </w:rPr>
      <w:t>أ.صحراوي نور الدين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114D"/>
    <w:rsid w:val="00254A26"/>
    <w:rsid w:val="002951EB"/>
    <w:rsid w:val="002A38D2"/>
    <w:rsid w:val="002E2AC4"/>
    <w:rsid w:val="003C15EB"/>
    <w:rsid w:val="00457F6A"/>
    <w:rsid w:val="004D033D"/>
    <w:rsid w:val="005533E5"/>
    <w:rsid w:val="0057114D"/>
    <w:rsid w:val="007570F1"/>
    <w:rsid w:val="00816B46"/>
    <w:rsid w:val="008C26BE"/>
    <w:rsid w:val="009B713B"/>
    <w:rsid w:val="00A30BBF"/>
    <w:rsid w:val="00BD77D9"/>
    <w:rsid w:val="00BE58F9"/>
    <w:rsid w:val="00C160C5"/>
    <w:rsid w:val="00D265ED"/>
    <w:rsid w:val="00DA5FA2"/>
    <w:rsid w:val="00DD63D4"/>
    <w:rsid w:val="00D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7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114D"/>
  </w:style>
  <w:style w:type="paragraph" w:styleId="NormalWeb">
    <w:name w:val="Normal (Web)"/>
    <w:basedOn w:val="Normal"/>
    <w:uiPriority w:val="99"/>
    <w:semiHidden/>
    <w:unhideWhenUsed/>
    <w:rsid w:val="003C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C15E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C15E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81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6B46"/>
  </w:style>
  <w:style w:type="paragraph" w:styleId="Notedebasdepage">
    <w:name w:val="footnote text"/>
    <w:basedOn w:val="Normal"/>
    <w:link w:val="NotedebasdepageCar"/>
    <w:uiPriority w:val="99"/>
    <w:rsid w:val="005533E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33E5"/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styleId="Appelnotedebasdep">
    <w:name w:val="footnote reference"/>
    <w:basedOn w:val="Policepardfaut"/>
    <w:uiPriority w:val="99"/>
    <w:rsid w:val="005533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141C5-1BED-492C-9569-169A23A2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Team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sahraoui</cp:lastModifiedBy>
  <cp:revision>3</cp:revision>
  <dcterms:created xsi:type="dcterms:W3CDTF">2025-01-25T15:36:00Z</dcterms:created>
  <dcterms:modified xsi:type="dcterms:W3CDTF">2025-01-25T16:07:00Z</dcterms:modified>
</cp:coreProperties>
</file>