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2D" w:rsidRDefault="00CF432D" w:rsidP="00CF432D">
      <w:pPr>
        <w:tabs>
          <w:tab w:val="left" w:pos="2937"/>
        </w:tabs>
        <w:ind w:left="-284" w:firstLine="283"/>
        <w:rPr>
          <w:rFonts w:asciiTheme="majorBidi" w:hAnsiTheme="majorBidi"/>
          <w:b/>
          <w:bCs/>
          <w:sz w:val="32"/>
          <w:szCs w:val="32"/>
        </w:rPr>
      </w:pPr>
      <w:r>
        <w:rPr>
          <w:rFonts w:asciiTheme="majorBidi" w:hAnsiTheme="majorBidi" w:hint="cs"/>
          <w:b/>
          <w:bCs/>
          <w:sz w:val="32"/>
          <w:szCs w:val="32"/>
          <w:rtl/>
        </w:rPr>
        <w:t>الأستاذ المسؤول عن المقياس : بن عيسى خيرة .</w:t>
      </w:r>
    </w:p>
    <w:p w:rsidR="00CF432D" w:rsidRDefault="00CF432D" w:rsidP="00CF432D">
      <w:pPr>
        <w:tabs>
          <w:tab w:val="left" w:pos="2937"/>
          <w:tab w:val="left" w:pos="7280"/>
        </w:tabs>
        <w:ind w:left="-284" w:firstLine="283"/>
        <w:rPr>
          <w:rFonts w:asciiTheme="majorBidi" w:hAnsiTheme="majorBidi"/>
          <w:b/>
          <w:bCs/>
          <w:sz w:val="32"/>
          <w:szCs w:val="32"/>
        </w:rPr>
      </w:pPr>
      <w:r>
        <w:rPr>
          <w:rFonts w:asciiTheme="majorBidi" w:hAnsiTheme="majorBidi" w:hint="cs"/>
          <w:b/>
          <w:bCs/>
          <w:sz w:val="32"/>
          <w:szCs w:val="32"/>
          <w:rtl/>
        </w:rPr>
        <w:t>مقياس : مدارس فلسفية يونانية  .</w:t>
      </w:r>
      <w:r>
        <w:rPr>
          <w:rFonts w:asciiTheme="majorBidi" w:hAnsiTheme="majorBidi" w:hint="cs"/>
          <w:b/>
          <w:bCs/>
          <w:sz w:val="32"/>
          <w:szCs w:val="32"/>
          <w:rtl/>
        </w:rPr>
        <w:tab/>
      </w:r>
    </w:p>
    <w:p w:rsidR="00CF432D" w:rsidRDefault="00CF432D" w:rsidP="00CF432D">
      <w:pPr>
        <w:tabs>
          <w:tab w:val="left" w:pos="2937"/>
        </w:tabs>
        <w:ind w:left="-284" w:firstLine="283"/>
        <w:rPr>
          <w:rFonts w:asciiTheme="majorBidi" w:hAnsiTheme="majorBidi"/>
          <w:b/>
          <w:bCs/>
          <w:sz w:val="32"/>
          <w:szCs w:val="32"/>
          <w:rtl/>
        </w:rPr>
      </w:pPr>
      <w:r>
        <w:rPr>
          <w:rFonts w:asciiTheme="majorBidi" w:hAnsiTheme="majorBidi" w:hint="cs"/>
          <w:b/>
          <w:bCs/>
          <w:sz w:val="32"/>
          <w:szCs w:val="32"/>
          <w:rtl/>
        </w:rPr>
        <w:t xml:space="preserve">المستوى السنة الثانية : </w:t>
      </w:r>
      <w:r>
        <w:rPr>
          <w:rFonts w:asciiTheme="majorBidi" w:hAnsiTheme="majorBidi"/>
          <w:b/>
          <w:bCs/>
          <w:sz w:val="32"/>
          <w:szCs w:val="32"/>
        </w:rPr>
        <w:t>LMD s3</w:t>
      </w:r>
    </w:p>
    <w:p w:rsidR="00CF432D" w:rsidRDefault="00305E2E" w:rsidP="00CF432D">
      <w:pPr>
        <w:pStyle w:val="Sansinterligne"/>
        <w:tabs>
          <w:tab w:val="right" w:pos="425"/>
        </w:tabs>
        <w:ind w:right="-284" w:firstLine="425"/>
        <w:rPr>
          <w:b/>
          <w:bCs/>
          <w:color w:val="FF0000"/>
        </w:rPr>
      </w:pPr>
      <w:r>
        <w:rPr>
          <w:rFonts w:asciiTheme="majorBidi" w:hAnsiTheme="majorBidi" w:hint="cs"/>
          <w:b/>
          <w:bCs/>
          <w:sz w:val="40"/>
          <w:szCs w:val="40"/>
          <w:highlight w:val="yellow"/>
          <w:rtl/>
        </w:rPr>
        <w:t>المحاضرة السابعة</w:t>
      </w:r>
      <w:r w:rsidR="00CF432D" w:rsidRPr="00CF432D">
        <w:rPr>
          <w:rFonts w:asciiTheme="majorBidi" w:hAnsiTheme="majorBidi" w:hint="cs"/>
          <w:b/>
          <w:bCs/>
          <w:sz w:val="40"/>
          <w:szCs w:val="40"/>
          <w:highlight w:val="yellow"/>
          <w:rtl/>
        </w:rPr>
        <w:t xml:space="preserve">   : المدرسة الشكية :</w:t>
      </w:r>
    </w:p>
    <w:p w:rsidR="00A01FEA" w:rsidRPr="00AB514D" w:rsidRDefault="00A01FEA" w:rsidP="00A01FEA">
      <w:pPr>
        <w:pStyle w:val="Sansinterligne"/>
        <w:tabs>
          <w:tab w:val="right" w:pos="425"/>
        </w:tabs>
        <w:ind w:right="-284" w:firstLine="425"/>
        <w:rPr>
          <w:b/>
          <w:bCs/>
          <w:color w:val="FF0000"/>
          <w:rtl/>
        </w:rPr>
      </w:pPr>
      <w:r w:rsidRPr="00AB514D">
        <w:rPr>
          <w:rFonts w:hint="cs"/>
          <w:b/>
          <w:bCs/>
          <w:color w:val="FF0000"/>
          <w:rtl/>
        </w:rPr>
        <w:t xml:space="preserve">المدرسة الشكية: </w:t>
      </w:r>
    </w:p>
    <w:p w:rsidR="00A01FEA" w:rsidRPr="00F32BC7" w:rsidRDefault="00A01FEA" w:rsidP="00A01FEA">
      <w:pPr>
        <w:pStyle w:val="Sansinterligne"/>
        <w:tabs>
          <w:tab w:val="right" w:pos="425"/>
        </w:tabs>
        <w:ind w:right="-284" w:firstLine="425"/>
        <w:rPr>
          <w:rtl/>
        </w:rPr>
      </w:pPr>
      <w:r w:rsidRPr="00F32BC7">
        <w:rPr>
          <w:rFonts w:hint="cs"/>
          <w:b/>
          <w:bCs/>
          <w:rtl/>
        </w:rPr>
        <w:t>"مذهب الشك</w:t>
      </w:r>
      <w:r w:rsidRPr="00F32BC7">
        <w:rPr>
          <w:rFonts w:asciiTheme="minorHAnsi" w:hAnsiTheme="minorHAnsi"/>
          <w:b/>
          <w:bCs/>
        </w:rPr>
        <w:t>Scepticisme</w:t>
      </w:r>
      <w:r w:rsidRPr="00F32BC7">
        <w:rPr>
          <w:rFonts w:asciiTheme="minorHAnsi" w:hAnsiTheme="minorHAnsi"/>
        </w:rPr>
        <w:t xml:space="preserve"> </w:t>
      </w:r>
      <w:r w:rsidR="00CF432D">
        <w:rPr>
          <w:rFonts w:hint="cs"/>
          <w:rtl/>
        </w:rPr>
        <w:t xml:space="preserve"> هو الذي"</w:t>
      </w:r>
      <w:r w:rsidR="00CF432D" w:rsidRPr="00CF432D">
        <w:rPr>
          <w:rFonts w:hint="cs"/>
          <w:color w:val="1F497D" w:themeColor="text2"/>
          <w:rtl/>
        </w:rPr>
        <w:t>ينظر في امكاني</w:t>
      </w:r>
      <w:r w:rsidRPr="00CF432D">
        <w:rPr>
          <w:rFonts w:hint="cs"/>
          <w:color w:val="1F497D" w:themeColor="text2"/>
          <w:rtl/>
        </w:rPr>
        <w:t>ات المعرفة على أنها محدودة</w:t>
      </w:r>
      <w:r w:rsidRPr="00F32BC7">
        <w:rPr>
          <w:rFonts w:hint="cs"/>
          <w:rtl/>
        </w:rPr>
        <w:t xml:space="preserve">،ويذهب في إحدى صوره إلى أن هناك أشياء لا يمكن من حيث المبدأ أن تعرف على الإطلاق،وفي صورة أخرى إلى أن معرفة بعض الأشياء لا يمكن بلوغها إلا بصعوبة ومع بعض التحويطات...ونقيض </w:t>
      </w:r>
      <w:r w:rsidRPr="00CF432D">
        <w:rPr>
          <w:rFonts w:hint="cs"/>
          <w:color w:val="1F497D" w:themeColor="text2"/>
          <w:rtl/>
        </w:rPr>
        <w:t>مذهب الشك هو مذهب اليقين</w:t>
      </w:r>
      <w:r w:rsidRPr="00F32BC7">
        <w:rPr>
          <w:rFonts w:hint="cs"/>
          <w:rtl/>
        </w:rPr>
        <w:t>"</w:t>
      </w:r>
      <w:r w:rsidRPr="00F32BC7">
        <w:rPr>
          <w:rStyle w:val="Appelnotedebasdep"/>
          <w:rtl/>
        </w:rPr>
        <w:footnoteReference w:id="2"/>
      </w:r>
      <w:r w:rsidRPr="00F32BC7">
        <w:rPr>
          <w:rFonts w:hint="cs"/>
          <w:rtl/>
        </w:rPr>
        <w:t>،والنزعة الشكية هي التي أثارت شكا حول إمكانية الوصول إلى المعرفة،لم تظهر فقط مع المدرسة الشكية مع بيرون،بل ظهرت قبل ذلك بقرون وبالتحديد مع السفسطائي</w:t>
      </w:r>
      <w:r w:rsidRPr="00F32BC7">
        <w:rPr>
          <w:rFonts w:hint="eastAsia"/>
          <w:rtl/>
        </w:rPr>
        <w:t>ة</w:t>
      </w:r>
      <w:r w:rsidRPr="00F32BC7">
        <w:rPr>
          <w:rFonts w:hint="cs"/>
          <w:rtl/>
        </w:rPr>
        <w:t>.</w:t>
      </w:r>
    </w:p>
    <w:p w:rsidR="00A01FEA" w:rsidRPr="00F32BC7" w:rsidRDefault="00A01FEA" w:rsidP="00A01FEA">
      <w:pPr>
        <w:pStyle w:val="Sansinterligne"/>
        <w:tabs>
          <w:tab w:val="right" w:pos="425"/>
        </w:tabs>
        <w:ind w:right="-284" w:firstLine="425"/>
        <w:rPr>
          <w:rtl/>
        </w:rPr>
      </w:pPr>
      <w:r w:rsidRPr="00F32BC7">
        <w:rPr>
          <w:rFonts w:hint="cs"/>
          <w:rtl/>
        </w:rPr>
        <w:t xml:space="preserve">أما المدرسة الشكية التي ظهرت في القرن </w:t>
      </w:r>
      <w:r w:rsidR="00CF432D">
        <w:rPr>
          <w:rFonts w:hint="cs"/>
          <w:rtl/>
        </w:rPr>
        <w:t xml:space="preserve">الرابع </w:t>
      </w:r>
      <w:r w:rsidRPr="00F32BC7">
        <w:rPr>
          <w:rFonts w:hint="cs"/>
          <w:rtl/>
        </w:rPr>
        <w:t xml:space="preserve">تزامنت مع المدرستين الرواقية والأبيقورية،كان لها قبول وانتشار واسعين عند اليونانيين بسبب تدهور أوضاعهم وتراجع قيمهم الروحية و وظهور النزعة الذاتية،أما غاية المدرسة فهي كما عند المدارس الهلنيستية </w:t>
      </w:r>
      <w:r w:rsidRPr="00CF432D">
        <w:rPr>
          <w:rFonts w:hint="cs"/>
          <w:color w:val="1F497D" w:themeColor="text2"/>
          <w:rtl/>
        </w:rPr>
        <w:t>عملية خالصة فلقد"كانت الفلسفة عند بيرون فنا عمليا يستهدف التجربة الروحية وراحة العقل</w:t>
      </w:r>
      <w:r w:rsidRPr="00F32BC7">
        <w:rPr>
          <w:rFonts w:hint="cs"/>
          <w:rtl/>
        </w:rPr>
        <w:t>"</w:t>
      </w:r>
      <w:r w:rsidRPr="00F32BC7">
        <w:rPr>
          <w:rStyle w:val="Appelnotedebasdep"/>
          <w:rtl/>
        </w:rPr>
        <w:footnoteReference w:id="3"/>
      </w:r>
      <w:r w:rsidRPr="00F32BC7">
        <w:rPr>
          <w:rFonts w:hint="cs"/>
          <w:rtl/>
        </w:rPr>
        <w:t>.</w:t>
      </w:r>
    </w:p>
    <w:p w:rsidR="00A01FEA" w:rsidRPr="00F32BC7" w:rsidRDefault="00A01FEA" w:rsidP="00A01FEA">
      <w:pPr>
        <w:pStyle w:val="Sansinterligne"/>
        <w:tabs>
          <w:tab w:val="right" w:pos="425"/>
        </w:tabs>
        <w:ind w:right="-284" w:firstLine="425"/>
        <w:rPr>
          <w:rtl/>
        </w:rPr>
      </w:pPr>
      <w:r w:rsidRPr="00F32BC7">
        <w:rPr>
          <w:rFonts w:hint="cs"/>
          <w:rtl/>
        </w:rPr>
        <w:t>مثل هذه النزعة الشكية بيرون ،وظهرت فيما بعد مع الأكاديمية الجديدة،لكن سرعان ما ستعود النزعة الشكية التي أسس لها بيرون مع زعماء النزعة الشكية التي أسس لها بيرون مع زعماء الأكاديمية المتأخرة.</w:t>
      </w:r>
    </w:p>
    <w:p w:rsidR="00A01FEA" w:rsidRPr="0007408A" w:rsidRDefault="00A01FEA" w:rsidP="00A01FEA">
      <w:pPr>
        <w:pStyle w:val="Sansinterligne"/>
        <w:tabs>
          <w:tab w:val="right" w:pos="425"/>
        </w:tabs>
        <w:ind w:right="-284" w:firstLine="425"/>
        <w:rPr>
          <w:b/>
          <w:bCs/>
          <w:color w:val="548DD4" w:themeColor="text2" w:themeTint="99"/>
          <w:rtl/>
        </w:rPr>
      </w:pPr>
      <w:r>
        <w:rPr>
          <w:rFonts w:hint="cs"/>
          <w:b/>
          <w:bCs/>
          <w:color w:val="FF0000"/>
          <w:rtl/>
        </w:rPr>
        <w:t>أ-</w:t>
      </w:r>
      <w:r w:rsidRPr="00AB514D">
        <w:rPr>
          <w:rFonts w:hint="cs"/>
          <w:b/>
          <w:bCs/>
          <w:color w:val="FF0000"/>
          <w:rtl/>
        </w:rPr>
        <w:t>بيــــرون</w:t>
      </w:r>
      <w:r w:rsidRPr="0007408A">
        <w:rPr>
          <w:rFonts w:hint="cs"/>
          <w:b/>
          <w:bCs/>
          <w:color w:val="548DD4" w:themeColor="text2" w:themeTint="99"/>
          <w:rtl/>
        </w:rPr>
        <w:t>:</w:t>
      </w:r>
      <w:r>
        <w:rPr>
          <w:rFonts w:hint="cs"/>
          <w:b/>
          <w:bCs/>
          <w:color w:val="548DD4" w:themeColor="text2" w:themeTint="99"/>
          <w:rtl/>
        </w:rPr>
        <w:t xml:space="preserve"> </w:t>
      </w:r>
      <w:r w:rsidRPr="00F32BC7">
        <w:rPr>
          <w:rFonts w:ascii="TimesNewRoman" w:eastAsiaTheme="minorHAnsi" w:hAnsi="TimesNewRoman" w:cs="TimesNewRoman"/>
          <w:sz w:val="32"/>
          <w:szCs w:val="32"/>
          <w:lang w:bidi="ar-SA"/>
        </w:rPr>
        <w:t>Pyrrhon d’ Élée</w:t>
      </w:r>
      <w:r w:rsidRPr="00F32BC7">
        <w:rPr>
          <w:rFonts w:ascii="TimesNewRoman" w:eastAsiaTheme="minorHAnsi" w:hAnsi="TimesNewRoman" w:cs="TimesNewRoman" w:hint="cs"/>
          <w:sz w:val="32"/>
          <w:szCs w:val="32"/>
          <w:rtl/>
          <w:lang w:bidi="ar-SA"/>
        </w:rPr>
        <w:t xml:space="preserve"> (365/275 </w:t>
      </w:r>
      <w:r w:rsidRPr="00F32BC7">
        <w:rPr>
          <w:rFonts w:ascii="TimesNewRoman" w:eastAsiaTheme="minorHAnsi" w:hAnsi="TimesNewRoman" w:cs="Times New Roman" w:hint="cs"/>
          <w:sz w:val="32"/>
          <w:szCs w:val="32"/>
          <w:rtl/>
          <w:lang w:bidi="ar-SA"/>
        </w:rPr>
        <w:t>ق</w:t>
      </w:r>
      <w:r w:rsidRPr="00F32BC7">
        <w:rPr>
          <w:rFonts w:ascii="TimesNewRoman" w:eastAsiaTheme="minorHAnsi" w:hAnsi="TimesNewRoman" w:cs="TimesNewRoman" w:hint="cs"/>
          <w:sz w:val="32"/>
          <w:szCs w:val="32"/>
          <w:rtl/>
          <w:lang w:bidi="ar-SA"/>
        </w:rPr>
        <w:t>.</w:t>
      </w:r>
      <w:r w:rsidRPr="00F32BC7">
        <w:rPr>
          <w:rFonts w:ascii="TimesNewRoman" w:eastAsiaTheme="minorHAnsi" w:hAnsi="TimesNewRoman" w:cs="Times New Roman" w:hint="cs"/>
          <w:sz w:val="32"/>
          <w:szCs w:val="32"/>
          <w:rtl/>
          <w:lang w:bidi="ar-SA"/>
        </w:rPr>
        <w:t>م</w:t>
      </w:r>
      <w:r w:rsidRPr="00F32BC7">
        <w:rPr>
          <w:rFonts w:ascii="TimesNewRoman" w:eastAsiaTheme="minorHAnsi" w:hAnsi="TimesNewRoman" w:cs="TimesNewRoman" w:hint="cs"/>
          <w:sz w:val="32"/>
          <w:szCs w:val="32"/>
          <w:rtl/>
          <w:lang w:bidi="ar-SA"/>
        </w:rPr>
        <w:t>) .</w:t>
      </w:r>
    </w:p>
    <w:p w:rsidR="00A01FEA" w:rsidRPr="00F32BC7" w:rsidRDefault="00A01FEA" w:rsidP="00A01FEA">
      <w:pPr>
        <w:pStyle w:val="Sansinterligne"/>
        <w:tabs>
          <w:tab w:val="right" w:pos="425"/>
        </w:tabs>
        <w:ind w:right="-284" w:firstLine="425"/>
        <w:rPr>
          <w:rtl/>
        </w:rPr>
      </w:pPr>
      <w:r w:rsidRPr="00F32BC7">
        <w:rPr>
          <w:rFonts w:hint="cs"/>
          <w:rtl/>
        </w:rPr>
        <w:t xml:space="preserve">ينطلق هذا الفيلسوف من مجموعة من المقدمات التي يثبت من </w:t>
      </w:r>
      <w:r w:rsidRPr="00CF432D">
        <w:rPr>
          <w:rFonts w:hint="cs"/>
          <w:color w:val="1F497D" w:themeColor="text2"/>
          <w:rtl/>
        </w:rPr>
        <w:t>خلالها استحالة حصول المعرفة،ومن ثمة ضرورة الشك</w:t>
      </w:r>
      <w:r w:rsidRPr="00F32BC7">
        <w:rPr>
          <w:rFonts w:hint="cs"/>
          <w:rtl/>
        </w:rPr>
        <w:t xml:space="preserve">،فإذا كانت المعرفة تتوقف على حكم الشخص ورأيه في الأشياء،فإن </w:t>
      </w:r>
      <w:r w:rsidRPr="00CF432D">
        <w:rPr>
          <w:rFonts w:hint="cs"/>
          <w:color w:val="1F497D" w:themeColor="text2"/>
          <w:rtl/>
        </w:rPr>
        <w:lastRenderedPageBreak/>
        <w:t>الرأي فيه اختلاف وتعارض بين الأشخاص،وهذا التعارض يجعل كل رأي مضاد لغيره وإن كان قائما علي معطيات تبدي أنه صادق،لكن معيار الصدق يجعل كل حكم باليقين مستحيلا لتعارضه مع غيره،وعندها سيتوقف ا</w:t>
      </w:r>
      <w:r w:rsidRPr="00F32BC7">
        <w:rPr>
          <w:rFonts w:hint="cs"/>
          <w:rtl/>
        </w:rPr>
        <w:t>لحكيم"عن تفضيل اتجاه للسلوك على آخر والنتيجة هي اللامبالاة،فكل فعل هو نتيجة تفضيل،والتفضيل هو الإيمان بأن شيء أفضل من سيء آخر"</w:t>
      </w:r>
      <w:r w:rsidRPr="00F32BC7">
        <w:rPr>
          <w:rStyle w:val="Appelnotedebasdep"/>
          <w:rtl/>
        </w:rPr>
        <w:footnoteReference w:id="4"/>
      </w:r>
      <w:r w:rsidRPr="00F32BC7">
        <w:rPr>
          <w:rFonts w:hint="cs"/>
          <w:rtl/>
        </w:rPr>
        <w:t>.</w:t>
      </w:r>
    </w:p>
    <w:p w:rsidR="00A01FEA" w:rsidRPr="00F32BC7" w:rsidRDefault="00A01FEA" w:rsidP="00A01FEA">
      <w:pPr>
        <w:pStyle w:val="Sansinterligne"/>
        <w:tabs>
          <w:tab w:val="right" w:pos="425"/>
        </w:tabs>
        <w:ind w:right="-284" w:firstLine="425"/>
        <w:rPr>
          <w:b/>
          <w:bCs/>
          <w:rtl/>
        </w:rPr>
      </w:pPr>
      <w:r w:rsidRPr="00F32BC7">
        <w:rPr>
          <w:rFonts w:hint="cs"/>
          <w:rtl/>
        </w:rPr>
        <w:t xml:space="preserve">يرى بيرون من خلال ذلك أنه </w:t>
      </w:r>
      <w:r w:rsidRPr="00CF432D">
        <w:rPr>
          <w:rFonts w:hint="cs"/>
          <w:color w:val="1F497D" w:themeColor="text2"/>
          <w:rtl/>
        </w:rPr>
        <w:t>لا يمكن الاستقرار على رأي</w:t>
      </w:r>
      <w:r w:rsidRPr="00F32BC7">
        <w:rPr>
          <w:rFonts w:hint="cs"/>
          <w:rtl/>
        </w:rPr>
        <w:t xml:space="preserve"> ما،لأنه </w:t>
      </w:r>
      <w:r w:rsidRPr="00CF432D">
        <w:rPr>
          <w:rFonts w:hint="cs"/>
          <w:color w:val="1F497D" w:themeColor="text2"/>
          <w:rtl/>
        </w:rPr>
        <w:t>لا توجد حقيقة نهائية</w:t>
      </w:r>
      <w:r w:rsidRPr="00F32BC7">
        <w:rPr>
          <w:rFonts w:hint="cs"/>
          <w:rtl/>
        </w:rPr>
        <w:t xml:space="preserve"> أو إمكانية تفضيل رأي على آخر،وهذه هي الحالة التامة التي عندما تستقر عليها النفس تعيش في راحة وطمأنينة كاملة،فهي هنا لا تنشغل بالبحث عن الرغبات التي تطمح إليها،لأنها كلها بلا قيمة ولا أهمية.</w:t>
      </w:r>
      <w:r w:rsidRPr="00F32BC7">
        <w:rPr>
          <w:rFonts w:hint="cs"/>
          <w:b/>
          <w:bCs/>
          <w:rtl/>
        </w:rPr>
        <w:t xml:space="preserve">     </w:t>
      </w:r>
    </w:p>
    <w:p w:rsidR="00D61797" w:rsidRDefault="00D61797"/>
    <w:sectPr w:rsidR="00D61797" w:rsidSect="00D6179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42" w:rsidRDefault="00901942" w:rsidP="00A01FEA">
      <w:r>
        <w:separator/>
      </w:r>
    </w:p>
  </w:endnote>
  <w:endnote w:type="continuationSeparator" w:id="1">
    <w:p w:rsidR="00901942" w:rsidRDefault="00901942" w:rsidP="00A01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59063"/>
      <w:docPartObj>
        <w:docPartGallery w:val="Page Numbers (Bottom of Page)"/>
        <w:docPartUnique/>
      </w:docPartObj>
    </w:sdtPr>
    <w:sdtContent>
      <w:p w:rsidR="00D63708" w:rsidRDefault="00A5351C">
        <w:pPr>
          <w:pStyle w:val="Pieddepage"/>
          <w:jc w:val="center"/>
        </w:pPr>
        <w:fldSimple w:instr=" PAGE   \* MERGEFORMAT ">
          <w:r w:rsidR="00305E2E">
            <w:rPr>
              <w:noProof/>
              <w:rtl/>
            </w:rPr>
            <w:t>1</w:t>
          </w:r>
        </w:fldSimple>
      </w:p>
    </w:sdtContent>
  </w:sdt>
  <w:p w:rsidR="00D63708" w:rsidRDefault="00D637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42" w:rsidRDefault="00901942" w:rsidP="00A01FEA">
      <w:r>
        <w:separator/>
      </w:r>
    </w:p>
  </w:footnote>
  <w:footnote w:type="continuationSeparator" w:id="1">
    <w:p w:rsidR="00901942" w:rsidRDefault="00901942" w:rsidP="00A01FEA">
      <w:r>
        <w:continuationSeparator/>
      </w:r>
    </w:p>
  </w:footnote>
  <w:footnote w:id="2">
    <w:p w:rsidR="00A01FEA" w:rsidRPr="00CF0227" w:rsidRDefault="00A01FEA" w:rsidP="00A01FEA">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مجموعة من المؤلفين، الموسوعة الفلسفية،ص412.</w:t>
      </w:r>
    </w:p>
  </w:footnote>
  <w:footnote w:id="3">
    <w:p w:rsidR="00A01FEA" w:rsidRPr="00CF0227" w:rsidRDefault="00A01FEA" w:rsidP="00A01FEA">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المرجع السابق</w:t>
      </w:r>
      <w:r w:rsidRPr="00CF0227">
        <w:rPr>
          <w:rFonts w:hint="cs"/>
          <w:sz w:val="24"/>
          <w:szCs w:val="24"/>
          <w:rtl/>
        </w:rPr>
        <w:t>،ص414.</w:t>
      </w:r>
    </w:p>
  </w:footnote>
  <w:footnote w:id="4">
    <w:p w:rsidR="00A01FEA" w:rsidRPr="00CF0227" w:rsidRDefault="00A01FEA" w:rsidP="00A01FEA">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ولتر ستيس تاريخ الفلسفة اليونانية،ص233.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B793C"/>
    <w:rsid w:val="00305E2E"/>
    <w:rsid w:val="004518C1"/>
    <w:rsid w:val="004D2FE7"/>
    <w:rsid w:val="005F1EA9"/>
    <w:rsid w:val="007D6154"/>
    <w:rsid w:val="00901942"/>
    <w:rsid w:val="00A01FEA"/>
    <w:rsid w:val="00A5351C"/>
    <w:rsid w:val="00CF432D"/>
    <w:rsid w:val="00D61797"/>
    <w:rsid w:val="00D63708"/>
    <w:rsid w:val="00E318F3"/>
    <w:rsid w:val="00EC0E54"/>
    <w:rsid w:val="00FB79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2D"/>
    <w:pPr>
      <w:bidi/>
      <w:spacing w:after="200" w:line="276" w:lineRule="auto"/>
      <w:ind w:left="0" w:right="0"/>
    </w:pPr>
    <w:rPr>
      <w:rFonts w:ascii="Traditional Arabic" w:eastAsiaTheme="minorEastAsia" w:hAnsi="Traditional Arabic" w:cs="Traditional Arabic"/>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01FEA"/>
    <w:pPr>
      <w:spacing w:after="0" w:line="240" w:lineRule="auto"/>
    </w:pPr>
    <w:rPr>
      <w:sz w:val="20"/>
      <w:szCs w:val="20"/>
    </w:rPr>
  </w:style>
  <w:style w:type="character" w:customStyle="1" w:styleId="NotedebasdepageCar">
    <w:name w:val="Note de bas de page Car"/>
    <w:basedOn w:val="Policepardfaut"/>
    <w:link w:val="Notedebasdepage"/>
    <w:rsid w:val="00A01FEA"/>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A01FEA"/>
    <w:rPr>
      <w:vertAlign w:val="superscript"/>
    </w:rPr>
  </w:style>
  <w:style w:type="paragraph" w:styleId="Sansinterligne">
    <w:name w:val="No Spacing"/>
    <w:uiPriority w:val="1"/>
    <w:qFormat/>
    <w:rsid w:val="00A01FEA"/>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D637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3708"/>
    <w:rPr>
      <w:rFonts w:ascii="Traditional Arabic" w:eastAsiaTheme="minorEastAsia" w:hAnsi="Traditional Arabic" w:cs="Traditional Arabic"/>
      <w:sz w:val="36"/>
      <w:szCs w:val="36"/>
      <w:lang w:bidi="ar-DZ"/>
    </w:rPr>
  </w:style>
  <w:style w:type="paragraph" w:styleId="Pieddepage">
    <w:name w:val="footer"/>
    <w:basedOn w:val="Normal"/>
    <w:link w:val="PieddepageCar"/>
    <w:uiPriority w:val="99"/>
    <w:unhideWhenUsed/>
    <w:rsid w:val="00D637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708"/>
    <w:rPr>
      <w:rFonts w:ascii="Traditional Arabic" w:eastAsiaTheme="minorEastAsia" w:hAnsi="Traditional Arabic" w:cs="Traditional Arabic"/>
      <w:sz w:val="36"/>
      <w:szCs w:val="36"/>
      <w:lang w:bidi="ar-DZ"/>
    </w:rPr>
  </w:style>
</w:styles>
</file>

<file path=word/webSettings.xml><?xml version="1.0" encoding="utf-8"?>
<w:webSettings xmlns:r="http://schemas.openxmlformats.org/officeDocument/2006/relationships" xmlns:w="http://schemas.openxmlformats.org/wordprocessingml/2006/main">
  <w:divs>
    <w:div w:id="3264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DBEE-F245-476C-9090-FDF5F2FA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5</cp:revision>
  <dcterms:created xsi:type="dcterms:W3CDTF">2021-02-25T13:26:00Z</dcterms:created>
  <dcterms:modified xsi:type="dcterms:W3CDTF">2021-03-01T13:51:00Z</dcterms:modified>
</cp:coreProperties>
</file>