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978B" w14:textId="77777777" w:rsidR="00F24A35" w:rsidRPr="00F24A35" w:rsidRDefault="00F24A35" w:rsidP="00F24A35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</w:p>
    <w:p w14:paraId="6D8F6C56" w14:textId="73B046BC" w:rsidR="00F24A35" w:rsidRPr="00F24A35" w:rsidRDefault="00F24A35" w:rsidP="00F24A35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F24A35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val="fr-FR" w:bidi="ar-DZ"/>
        </w:rPr>
        <w:t>-تقديم الم</w:t>
      </w:r>
      <w:r w:rsidR="00CB40BE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val="fr-FR" w:bidi="ar-DZ"/>
        </w:rPr>
        <w:t>قياس</w:t>
      </w:r>
      <w:r w:rsidRPr="00F24A35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:</w:t>
      </w:r>
    </w:p>
    <w:p w14:paraId="323C0BF7" w14:textId="77777777" w:rsidR="00F24A35" w:rsidRPr="00F24A35" w:rsidRDefault="00F24A35" w:rsidP="00F24A35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F24A35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تعتبر هذه المحاضرة من أهمّ المحاضرات التي يجب على المتخصّص في العقائد و الأديان الإطّلاع عليها ؛ حيث يتمّ فيها التعرّف على محتوى العقائد المسيحية ، و كيفية تشكّلها ، و الوقوف على الفروق بينها و بين الأسرار المسيحية .</w:t>
      </w:r>
    </w:p>
    <w:p w14:paraId="44A3CBC9" w14:textId="77777777" w:rsidR="00F24A35" w:rsidRPr="00F24A35" w:rsidRDefault="00F24A35" w:rsidP="00F24A35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F24A35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وقد أتاحت دراسة " مدخل إلى الأديان " التي تلقّاها الطلبة في السنة ثانية جذع مشترك إمكانية تكوين تصوّر عامّ عن العقائد و معرفة عامّة بالمصادر التي تفصّل في هذا الموضوع ، غير أنّه في هذه السنة و مع هذا المقياس سيتمكّن الطالب من تعميق معرفته بالعقائد و سيقف على التفاصيل المتّفق و المختلف فيها بين الطّوائف المسيحية.</w:t>
      </w:r>
    </w:p>
    <w:p w14:paraId="5ACDBBAE" w14:textId="2583A226" w:rsidR="00F24A35" w:rsidRPr="00F24A35" w:rsidRDefault="00F24A35" w:rsidP="00F24A35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u w:val="single"/>
          <w:rtl/>
          <w:lang w:val="fr-FR" w:bidi="ar-DZ"/>
        </w:rPr>
      </w:pPr>
      <w:r w:rsidRPr="00F24A35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val="fr-FR" w:bidi="ar-DZ"/>
        </w:rPr>
        <w:t>محتوى المحاض</w:t>
      </w:r>
      <w:r w:rsidR="00CB40BE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val="fr-FR" w:bidi="ar-DZ"/>
        </w:rPr>
        <w:t>رات:</w:t>
      </w:r>
    </w:p>
    <w:p w14:paraId="21A5DE00" w14:textId="77777777" w:rsidR="00F24A35" w:rsidRPr="00F24A35" w:rsidRDefault="00F24A35" w:rsidP="00F24A35">
      <w:pPr>
        <w:bidi/>
        <w:spacing w:after="200" w:line="276" w:lineRule="auto"/>
        <w:rPr>
          <w:rFonts w:ascii="Traditional Arabic" w:eastAsia="Calibri" w:hAnsi="Traditional Arabic" w:cs="Traditional Arabic"/>
          <w:sz w:val="32"/>
          <w:szCs w:val="32"/>
          <w:rtl/>
          <w:lang w:val="fr-FR" w:bidi="ar-DZ"/>
        </w:rPr>
      </w:pPr>
      <w:r w:rsidRPr="00F24A35">
        <w:rPr>
          <w:rFonts w:ascii="Traditional Arabic" w:eastAsia="Calibri" w:hAnsi="Traditional Arabic" w:cs="Traditional Arabic" w:hint="cs"/>
          <w:sz w:val="32"/>
          <w:szCs w:val="32"/>
          <w:rtl/>
          <w:lang w:val="fr-FR" w:bidi="ar-DZ"/>
        </w:rPr>
        <w:t>تحتوي المحاضرة على أربعة نشاطات للتعلّم ، و كلّ نشاط يأتي ضمن تسلسل بيداغوجي يسمح باستيعاب المفاهيم التي تطرّق إليها الدّرس ، مع تدعيم المحاضرة بسلسلة من  البحوث تعمّق المعرفة و تكسب الطالب القدرة على البحث أكثر .</w:t>
      </w:r>
    </w:p>
    <w:p w14:paraId="1ECFBC67" w14:textId="77777777" w:rsidR="009C4110" w:rsidRPr="00F24A35" w:rsidRDefault="009C4110" w:rsidP="00F24A35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9C4110" w:rsidRPr="00F2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35"/>
    <w:rsid w:val="009C4110"/>
    <w:rsid w:val="00CB40BE"/>
    <w:rsid w:val="00F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3B13B"/>
  <w15:chartTrackingRefBased/>
  <w15:docId w15:val="{884B9566-5991-4E02-B8FE-0A9D8C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2021-06-13T11:35:00Z</dcterms:created>
  <dcterms:modified xsi:type="dcterms:W3CDTF">2021-06-13T11:37:00Z</dcterms:modified>
</cp:coreProperties>
</file>