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B" w:rsidRDefault="006C553B" w:rsidP="008D1111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</w:rPr>
      </w:pPr>
    </w:p>
    <w:p w:rsidR="006C553B" w:rsidRDefault="006C553B" w:rsidP="006C553B">
      <w:pPr>
        <w:pStyle w:val="Titre"/>
        <w:tabs>
          <w:tab w:val="right" w:pos="9072"/>
        </w:tabs>
        <w:bidi/>
        <w:rPr>
          <w:bdr w:val="none" w:sz="0" w:space="0" w:color="auto" w:frame="1"/>
          <w:shd w:val="clear" w:color="auto" w:fill="FFFFFF"/>
          <w:rtl/>
        </w:rPr>
      </w:pPr>
      <w:proofErr w:type="gramStart"/>
      <w:r>
        <w:rPr>
          <w:rFonts w:hint="cs"/>
          <w:bdr w:val="none" w:sz="0" w:space="0" w:color="auto" w:frame="1"/>
          <w:shd w:val="clear" w:color="auto" w:fill="FFFFFF"/>
          <w:rtl/>
        </w:rPr>
        <w:t>محاضرة</w:t>
      </w:r>
      <w:proofErr w:type="gramEnd"/>
      <w:r>
        <w:rPr>
          <w:rFonts w:hint="cs"/>
          <w:bdr w:val="none" w:sz="0" w:space="0" w:color="auto" w:frame="1"/>
          <w:shd w:val="clear" w:color="auto" w:fill="FFFFFF"/>
          <w:rtl/>
        </w:rPr>
        <w:t xml:space="preserve"> رقم 5</w:t>
      </w:r>
      <w:r>
        <w:rPr>
          <w:bdr w:val="none" w:sz="0" w:space="0" w:color="auto" w:frame="1"/>
          <w:shd w:val="clear" w:color="auto" w:fill="FFFFFF"/>
          <w:rtl/>
        </w:rPr>
        <w:tab/>
      </w:r>
    </w:p>
    <w:p w:rsidR="006C553B" w:rsidRPr="006C553B" w:rsidRDefault="006C553B" w:rsidP="006C553B">
      <w:pPr>
        <w:bidi/>
        <w:rPr>
          <w:rtl/>
        </w:rPr>
      </w:pPr>
    </w:p>
    <w:p w:rsidR="006C553B" w:rsidRDefault="006C553B" w:rsidP="006C553B">
      <w:pPr>
        <w:bidi/>
        <w:rPr>
          <w:color w:val="000000" w:themeColor="text1"/>
          <w:sz w:val="32"/>
          <w:szCs w:val="32"/>
          <w:u w:val="single"/>
          <w:rtl/>
        </w:rPr>
      </w:pPr>
      <w:r w:rsidRPr="006C553B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تابع لقانون</w:t>
      </w:r>
      <w:r w:rsidRPr="00195E9E">
        <w:rPr>
          <w:rFonts w:hint="cs"/>
          <w:color w:val="000000" w:themeColor="text1"/>
          <w:sz w:val="32"/>
          <w:szCs w:val="32"/>
          <w:u w:val="single"/>
          <w:rtl/>
        </w:rPr>
        <w:t xml:space="preserve"> 31 ديسمبر 1913 حول المعالم الأثرية</w:t>
      </w:r>
      <w:r>
        <w:rPr>
          <w:rFonts w:hint="cs"/>
          <w:color w:val="000000" w:themeColor="text1"/>
          <w:sz w:val="32"/>
          <w:szCs w:val="32"/>
          <w:u w:val="single"/>
          <w:rtl/>
        </w:rPr>
        <w:t xml:space="preserve"> </w:t>
      </w:r>
    </w:p>
    <w:p w:rsidR="006C553B" w:rsidRDefault="006C553B" w:rsidP="006C553B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</w:rPr>
      </w:pPr>
    </w:p>
    <w:p w:rsidR="008D1111" w:rsidRDefault="008D1111" w:rsidP="006C553B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-ألغي بأمر 178-2004</w:t>
      </w:r>
      <w:r w:rsidRPr="0028587F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المؤرخ في -20-02-2004</w:t>
      </w:r>
    </w:p>
    <w:p w:rsidR="008D1111" w:rsidRDefault="008D1111" w:rsidP="00CA2E55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عندما لا يتعلق الأمر بأعمال تتطلب رخصة البناء أو تصريح الهدم أو تصريح المذكور في المادة </w:t>
      </w:r>
      <w:r w:rsidR="00CA2E55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2-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442-</w:t>
      </w:r>
      <w:r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</w:rPr>
        <w:t>R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من قانون تخطيط المدن فإن هذا التصريح موجه للمحافظ حسب المادة13يستطيع هذا الأخير أن يقرر بعد استشارة المهندس المعماري لفرنسا، ومع ذلك إذا قرر الوزير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المسؤول</w:t>
      </w:r>
      <w:proofErr w:type="spellEnd"/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عن المعالم التاريخية إثارة الموضوع فلا يمكن إصدار الترخيص إلا بموافقته .</w:t>
      </w:r>
    </w:p>
    <w:p w:rsidR="00507482" w:rsidRDefault="008D1111" w:rsidP="00835EB1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</w:rPr>
      </w:pPr>
      <w:r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إذا لم يقم المحافظ الرد</w:t>
      </w:r>
      <w:r w:rsidR="008378D1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على الجهات المعنية في غضون أربعين يوما من تاريخ تقديم طلبهم، أو</w:t>
      </w:r>
      <w:r w:rsidR="008378D1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كان الرد غير مرضي للطرف الآخر فيعرض على الوزير الأعمال الثقافية </w:t>
      </w:r>
      <w:r w:rsidR="008378D1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في غضون شهرين </w:t>
      </w:r>
      <w:proofErr w:type="spellStart"/>
      <w:r w:rsidR="008378D1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ابتداءا</w:t>
      </w:r>
      <w:proofErr w:type="spellEnd"/>
      <w:r w:rsidR="008378D1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من يوم تقديم </w:t>
      </w:r>
      <w:r w:rsidR="00CB0C2A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تبليغ رد المحافظ أو انقضاء مدة أربعين يوما </w:t>
      </w:r>
      <w:r w:rsidR="00835EB1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على التبليغ.</w:t>
      </w:r>
    </w:p>
    <w:p w:rsidR="00DF746C" w:rsidRDefault="00527244" w:rsidP="00150932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يقرر </w:t>
      </w:r>
      <w:proofErr w:type="gramStart"/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الوزير :</w:t>
      </w:r>
      <w:proofErr w:type="gramEnd"/>
      <w:r w:rsidR="000026DD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يتم</w:t>
      </w:r>
      <w:r w:rsidR="00321F05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 w:rsidR="000026DD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ال</w:t>
      </w:r>
      <w:r w:rsidR="00321F05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رفض ،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إذا لم يتم في غضون </w:t>
      </w:r>
      <w:r w:rsidR="00150932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ثلاثة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 w:rsidR="00150932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أشهر </w:t>
      </w:r>
      <w:r w:rsidR="000026DD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من </w:t>
      </w:r>
      <w:r w:rsidR="00150932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استلام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 w:rsidR="000026DD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طلبهم،</w:t>
      </w:r>
      <w:r w:rsidR="00150932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تبليغ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 w:rsidR="000026DD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قرار إلى </w:t>
      </w:r>
      <w:r w:rsidR="000026DD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أطراف المعنية</w:t>
      </w:r>
      <w:r w:rsidR="00150932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.</w:t>
      </w:r>
    </w:p>
    <w:p w:rsidR="001A3B87" w:rsidRDefault="00DF746C" w:rsidP="001467A3">
      <w:pPr>
        <w:bidi/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>يطلب من أصحاب الطلب التقيد بالإجراءات المفروضة عليهم لحماية المبنى المصنف أو المسجل إما من طرف المهندس المعماري لشركة</w:t>
      </w:r>
      <w:r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</w:rPr>
        <w:t>de France »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</w:rPr>
        <w:t>Batiments</w:t>
      </w:r>
      <w:proofErr w:type="spellEnd"/>
      <w:r w:rsidR="00527244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bdr w:val="none" w:sz="0" w:space="0" w:color="auto" w:frame="1"/>
          <w:shd w:val="clear" w:color="auto" w:fill="FFFFFF"/>
        </w:rPr>
        <w:t>« 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 xml:space="preserve"> أو من 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lastRenderedPageBreak/>
        <w:t>طرف</w:t>
      </w:r>
      <w:r w:rsidR="001467A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 xml:space="preserve"> المحافظ أو الوزير </w:t>
      </w:r>
      <w:proofErr w:type="spellStart"/>
      <w:r w:rsidR="001467A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>المسؤول</w:t>
      </w:r>
      <w:proofErr w:type="spellEnd"/>
      <w:r w:rsidR="001467A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 xml:space="preserve"> عن الشؤون الثقافية في </w:t>
      </w:r>
      <w:proofErr w:type="spellStart"/>
      <w:r w:rsidR="001467A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>المشارة</w:t>
      </w:r>
      <w:proofErr w:type="spellEnd"/>
      <w:r w:rsidR="001467A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 xml:space="preserve"> إليها في الفقرات الأولى و الثانية و الثالثة من هذه المادة.</w:t>
      </w:r>
    </w:p>
    <w:p w:rsidR="001467A3" w:rsidRPr="001467A3" w:rsidRDefault="001467A3" w:rsidP="001467A3">
      <w:pPr>
        <w:bidi/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</w:pPr>
      <w:r w:rsidRPr="001467A3">
        <w:rPr>
          <w:rFonts w:ascii="Simplified Arabic" w:hAnsi="Simplified Arabic" w:cs="Simplified Arabic" w:hint="cs"/>
          <w:b/>
          <w:bCs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 xml:space="preserve">---لا يتم الإلغاء إلا في حالة صدور الأحكام </w:t>
      </w:r>
      <w:proofErr w:type="spellStart"/>
      <w:r w:rsidRPr="001467A3">
        <w:rPr>
          <w:rFonts w:ascii="Simplified Arabic" w:hAnsi="Simplified Arabic" w:cs="Simplified Arabic" w:hint="cs"/>
          <w:b/>
          <w:bCs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>التنظمية</w:t>
      </w:r>
      <w:proofErr w:type="spellEnd"/>
      <w:r w:rsidRPr="001467A3">
        <w:rPr>
          <w:rFonts w:ascii="Simplified Arabic" w:hAnsi="Simplified Arabic" w:cs="Simplified Arabic" w:hint="cs"/>
          <w:b/>
          <w:bCs/>
          <w:sz w:val="32"/>
          <w:szCs w:val="32"/>
          <w:bdr w:val="none" w:sz="0" w:space="0" w:color="auto" w:frame="1"/>
          <w:shd w:val="clear" w:color="auto" w:fill="FFFFFF"/>
          <w:rtl/>
          <w:lang w:bidi="ar-DZ"/>
        </w:rPr>
        <w:t>.</w:t>
      </w:r>
    </w:p>
    <w:p w:rsidR="001467A3" w:rsidRDefault="001467A3" w:rsidP="001467A3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bdr w:val="none" w:sz="0" w:space="0" w:color="auto" w:frame="1"/>
          <w:shd w:val="clear" w:color="auto" w:fill="FFFFFF"/>
          <w:rtl/>
          <w:lang w:bidi="ar-DZ"/>
        </w:rPr>
      </w:pPr>
      <w:proofErr w:type="gramStart"/>
      <w:r w:rsidRPr="002D7E52">
        <w:rPr>
          <w:rFonts w:ascii="Simplified Arabic" w:hAnsi="Simplified Arabic" w:cs="Simplified Arabic" w:hint="cs"/>
          <w:b/>
          <w:bCs/>
          <w:sz w:val="36"/>
          <w:szCs w:val="36"/>
          <w:u w:val="single"/>
          <w:bdr w:val="none" w:sz="0" w:space="0" w:color="auto" w:frame="1"/>
          <w:shd w:val="clear" w:color="auto" w:fill="FFFFFF"/>
          <w:rtl/>
          <w:lang w:bidi="ar-DZ"/>
        </w:rPr>
        <w:t>الأشياء</w:t>
      </w:r>
      <w:proofErr w:type="gramEnd"/>
      <w:r w:rsidRPr="002D7E52">
        <w:rPr>
          <w:rFonts w:ascii="Simplified Arabic" w:hAnsi="Simplified Arabic" w:cs="Simplified Arabic" w:hint="cs"/>
          <w:b/>
          <w:bCs/>
          <w:sz w:val="36"/>
          <w:szCs w:val="36"/>
          <w:u w:val="single"/>
          <w:bdr w:val="none" w:sz="0" w:space="0" w:color="auto" w:frame="1"/>
          <w:shd w:val="clear" w:color="auto" w:fill="FFFFFF"/>
          <w:rtl/>
          <w:lang w:bidi="ar-DZ"/>
        </w:rPr>
        <w:t xml:space="preserve"> المنقولة</w:t>
      </w:r>
    </w:p>
    <w:p w:rsidR="002D7E52" w:rsidRPr="002D7E52" w:rsidRDefault="002D7E52" w:rsidP="002D7E52">
      <w:pPr>
        <w:bidi/>
        <w:rPr>
          <w:rFonts w:ascii="Simplified Arabic" w:hAnsi="Simplified Arabic" w:cs="Simplified Arabic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</w:pPr>
      <w:r w:rsidRPr="002D7E52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المادة14</w:t>
      </w: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ملغاة.</w:t>
      </w:r>
    </w:p>
    <w:p w:rsidR="002D7E52" w:rsidRDefault="002D7E52" w:rsidP="00A71631">
      <w:pPr>
        <w:bidi/>
        <w:rPr>
          <w:rFonts w:ascii="Simplified Arabic" w:hAnsi="Simplified Arabic" w:cs="Simplified Arabic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المادة 15: </w:t>
      </w:r>
      <w:r w:rsidRPr="002D7E52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ي</w:t>
      </w: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تم </w:t>
      </w:r>
      <w:proofErr w:type="spellStart"/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اعلان</w:t>
      </w:r>
      <w:proofErr w:type="spellEnd"/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تصنيف الأشياء المنقولة بقرار يصدر عن الوزير الدولة المكلف بالشؤون الثقافية في حالة ما إذا كان الشيء</w:t>
      </w:r>
      <w:r w:rsidR="0087740A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تابع للدولة أو</w:t>
      </w:r>
      <w:r w:rsidR="0087740A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محافظة أو بلدية </w:t>
      </w:r>
      <w:r w:rsidR="00A71631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أو مؤسسة عامة </w:t>
      </w:r>
      <w:r w:rsidR="0087740A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،</w:t>
      </w:r>
      <w:r w:rsidR="00A71631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و</w:t>
      </w:r>
      <w:r w:rsidR="0087740A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يتم تبليغه إلى المعنيين بالأمر</w:t>
      </w:r>
      <w:r w:rsidR="00A71631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.</w:t>
      </w:r>
    </w:p>
    <w:p w:rsidR="009225BD" w:rsidRPr="002D7E52" w:rsidRDefault="005B551E" w:rsidP="006F6E7F">
      <w:pPr>
        <w:bidi/>
        <w:rPr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وفي خلال ستة أشهر من تاريخ الإخطار </w:t>
      </w:r>
      <w:proofErr w:type="spellStart"/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 w:rsidR="009225BD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يصبح التصنيف نهائيا إذا لم يطالب </w:t>
      </w:r>
      <w:r w:rsidR="00DB6E9F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proofErr w:type="spellStart"/>
      <w:r w:rsidR="00DB6E9F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به</w:t>
      </w:r>
      <w:proofErr w:type="spellEnd"/>
      <w:r w:rsidR="00DB6E9F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 w:rsidR="009225BD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الوزير </w:t>
      </w:r>
      <w:proofErr w:type="spellStart"/>
      <w:r w:rsidR="009225BD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المسؤول</w:t>
      </w:r>
      <w:proofErr w:type="spellEnd"/>
      <w:r w:rsidR="009225BD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عن الشيء أو</w:t>
      </w:r>
      <w:r w:rsidR="00840F56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 w:rsidR="009225BD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المالك العام</w:t>
      </w:r>
      <w:r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 xml:space="preserve"> </w:t>
      </w:r>
      <w:r w:rsidR="00DB6E9F">
        <w:rPr>
          <w:rFonts w:ascii="Simplified Arabic" w:hAnsi="Simplified Arabic" w:cs="Simplified Arabic" w:hint="cs"/>
          <w:sz w:val="36"/>
          <w:szCs w:val="36"/>
          <w:bdr w:val="none" w:sz="0" w:space="0" w:color="auto" w:frame="1"/>
          <w:shd w:val="clear" w:color="auto" w:fill="FFFFFF"/>
          <w:rtl/>
          <w:lang w:bidi="ar-DZ"/>
        </w:rPr>
        <w:t>.</w:t>
      </w:r>
    </w:p>
    <w:sectPr w:rsidR="009225BD" w:rsidRPr="002D7E52" w:rsidSect="001A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1111"/>
    <w:rsid w:val="000026DD"/>
    <w:rsid w:val="001315C4"/>
    <w:rsid w:val="001467A3"/>
    <w:rsid w:val="00150932"/>
    <w:rsid w:val="001A3B87"/>
    <w:rsid w:val="00267123"/>
    <w:rsid w:val="002D7E52"/>
    <w:rsid w:val="00321F05"/>
    <w:rsid w:val="00507482"/>
    <w:rsid w:val="00527244"/>
    <w:rsid w:val="005963B0"/>
    <w:rsid w:val="005B551E"/>
    <w:rsid w:val="006C553B"/>
    <w:rsid w:val="006F6E7F"/>
    <w:rsid w:val="00835EB1"/>
    <w:rsid w:val="008378D1"/>
    <w:rsid w:val="00840F56"/>
    <w:rsid w:val="0087740A"/>
    <w:rsid w:val="008D1111"/>
    <w:rsid w:val="009225BD"/>
    <w:rsid w:val="00930ADB"/>
    <w:rsid w:val="00A71631"/>
    <w:rsid w:val="00C52885"/>
    <w:rsid w:val="00CA2E55"/>
    <w:rsid w:val="00CB0C2A"/>
    <w:rsid w:val="00DB6E9F"/>
    <w:rsid w:val="00DF746C"/>
    <w:rsid w:val="00F1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5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5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2024-05-03T18:52:00Z</dcterms:created>
  <dcterms:modified xsi:type="dcterms:W3CDTF">2024-05-03T18:52:00Z</dcterms:modified>
</cp:coreProperties>
</file>