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E6" w:rsidRPr="00D844E6" w:rsidRDefault="00D844E6" w:rsidP="00D844E6">
      <w:pPr>
        <w:spacing w:line="276" w:lineRule="auto"/>
        <w:jc w:val="both"/>
        <w:rPr>
          <w:rFonts w:asciiTheme="majorBidi" w:hAnsiTheme="majorBidi" w:cstheme="majorBidi"/>
          <w:b/>
          <w:bCs/>
          <w:sz w:val="24"/>
          <w:szCs w:val="24"/>
        </w:rPr>
      </w:pPr>
      <w:r w:rsidRPr="00D844E6">
        <w:rPr>
          <w:rFonts w:asciiTheme="majorBidi" w:hAnsiTheme="majorBidi" w:cstheme="majorBidi"/>
          <w:b/>
          <w:bCs/>
          <w:sz w:val="24"/>
          <w:szCs w:val="24"/>
        </w:rPr>
        <w:t>Question 1</w:t>
      </w:r>
    </w:p>
    <w:p w:rsidR="00A004BD" w:rsidRPr="00D844E6" w:rsidRDefault="00A004BD" w:rsidP="003D38D2">
      <w:pPr>
        <w:spacing w:line="276" w:lineRule="auto"/>
        <w:jc w:val="both"/>
        <w:rPr>
          <w:rFonts w:asciiTheme="majorBidi" w:hAnsiTheme="majorBidi" w:cstheme="majorBidi"/>
          <w:sz w:val="24"/>
          <w:szCs w:val="24"/>
        </w:rPr>
      </w:pPr>
      <w:r w:rsidRPr="00D844E6">
        <w:rPr>
          <w:rFonts w:asciiTheme="majorBidi" w:hAnsiTheme="majorBidi" w:cstheme="majorBidi"/>
          <w:sz w:val="24"/>
          <w:szCs w:val="24"/>
        </w:rPr>
        <w:t xml:space="preserve">Un stock halieutique est la partie exploitable de </w:t>
      </w:r>
      <w:r w:rsidR="00B07C62" w:rsidRPr="00D844E6">
        <w:rPr>
          <w:rFonts w:asciiTheme="majorBidi" w:hAnsiTheme="majorBidi" w:cstheme="majorBidi"/>
          <w:sz w:val="24"/>
          <w:szCs w:val="24"/>
        </w:rPr>
        <w:t>poissons,</w:t>
      </w:r>
      <w:r w:rsidRPr="00D844E6">
        <w:rPr>
          <w:rFonts w:asciiTheme="majorBidi" w:hAnsiTheme="majorBidi" w:cstheme="majorBidi"/>
          <w:sz w:val="24"/>
          <w:szCs w:val="24"/>
        </w:rPr>
        <w:t xml:space="preserve"> il est constitué par plusieurs cohorte dont le nombre dépend de plusieurs </w:t>
      </w:r>
      <w:r w:rsidR="00B07C62" w:rsidRPr="00D844E6">
        <w:rPr>
          <w:rFonts w:asciiTheme="majorBidi" w:hAnsiTheme="majorBidi" w:cstheme="majorBidi"/>
          <w:sz w:val="24"/>
          <w:szCs w:val="24"/>
        </w:rPr>
        <w:t>évènement</w:t>
      </w:r>
      <w:r w:rsidRPr="00D844E6">
        <w:rPr>
          <w:rFonts w:asciiTheme="majorBidi" w:hAnsiTheme="majorBidi" w:cstheme="majorBidi"/>
          <w:sz w:val="24"/>
          <w:szCs w:val="24"/>
        </w:rPr>
        <w:t xml:space="preserve"> : le recrutement, la reproduction, la mort naturelle/et ou par la </w:t>
      </w:r>
      <w:r w:rsidR="00D844E6" w:rsidRPr="00D844E6">
        <w:rPr>
          <w:rFonts w:asciiTheme="majorBidi" w:hAnsiTheme="majorBidi" w:cstheme="majorBidi"/>
          <w:sz w:val="24"/>
          <w:szCs w:val="24"/>
        </w:rPr>
        <w:t>pêche.</w:t>
      </w:r>
      <w:r w:rsidRPr="00D844E6">
        <w:rPr>
          <w:rFonts w:asciiTheme="majorBidi" w:hAnsiTheme="majorBidi" w:cstheme="majorBidi"/>
          <w:sz w:val="24"/>
          <w:szCs w:val="24"/>
        </w:rPr>
        <w:t xml:space="preserve"> de ce fait un stock est réputé par l’effondrement si la quantité exploitable dépasse le nombre des  progéniteur</w:t>
      </w:r>
      <w:r w:rsidR="00B07C62" w:rsidRPr="00D844E6">
        <w:rPr>
          <w:rFonts w:asciiTheme="majorBidi" w:hAnsiTheme="majorBidi" w:cstheme="majorBidi"/>
          <w:sz w:val="24"/>
          <w:szCs w:val="24"/>
        </w:rPr>
        <w:t>s </w:t>
      </w:r>
      <w:r w:rsidRPr="00D844E6">
        <w:rPr>
          <w:rFonts w:asciiTheme="majorBidi" w:hAnsiTheme="majorBidi" w:cstheme="majorBidi"/>
          <w:sz w:val="24"/>
          <w:szCs w:val="24"/>
        </w:rPr>
        <w:t xml:space="preserve"> qui permettent le renouvèlement d’un stock halieutique ;</w:t>
      </w:r>
    </w:p>
    <w:p w:rsidR="009E2853" w:rsidRPr="00D844E6" w:rsidRDefault="00B07C62" w:rsidP="00D844E6">
      <w:pPr>
        <w:spacing w:line="276" w:lineRule="auto"/>
        <w:jc w:val="both"/>
        <w:rPr>
          <w:rFonts w:asciiTheme="majorBidi" w:hAnsiTheme="majorBidi" w:cstheme="majorBidi"/>
          <w:sz w:val="24"/>
          <w:szCs w:val="24"/>
        </w:rPr>
      </w:pPr>
      <w:r w:rsidRPr="00D844E6">
        <w:rPr>
          <w:rFonts w:asciiTheme="majorBidi" w:hAnsiTheme="majorBidi" w:cstheme="majorBidi"/>
          <w:sz w:val="24"/>
          <w:szCs w:val="24"/>
        </w:rPr>
        <w:t>Parmi</w:t>
      </w:r>
      <w:r w:rsidR="00A004BD" w:rsidRPr="00D844E6">
        <w:rPr>
          <w:rFonts w:asciiTheme="majorBidi" w:hAnsiTheme="majorBidi" w:cstheme="majorBidi"/>
          <w:sz w:val="24"/>
          <w:szCs w:val="24"/>
        </w:rPr>
        <w:t xml:space="preserve"> les causes  de cet effondrement nous allons  citer :  l’exploitation d’un stock à un </w:t>
      </w:r>
      <w:r w:rsidRPr="00D844E6">
        <w:rPr>
          <w:rFonts w:asciiTheme="majorBidi" w:hAnsiTheme="majorBidi" w:cstheme="majorBidi"/>
          <w:sz w:val="24"/>
          <w:szCs w:val="24"/>
        </w:rPr>
        <w:t>s</w:t>
      </w:r>
      <w:r w:rsidR="00A004BD" w:rsidRPr="00D844E6">
        <w:rPr>
          <w:rFonts w:asciiTheme="majorBidi" w:hAnsiTheme="majorBidi" w:cstheme="majorBidi"/>
          <w:sz w:val="24"/>
          <w:szCs w:val="24"/>
        </w:rPr>
        <w:t>eu</w:t>
      </w:r>
      <w:r w:rsidRPr="00D844E6">
        <w:rPr>
          <w:rFonts w:asciiTheme="majorBidi" w:hAnsiTheme="majorBidi" w:cstheme="majorBidi"/>
          <w:sz w:val="24"/>
          <w:szCs w:val="24"/>
        </w:rPr>
        <w:t>i</w:t>
      </w:r>
      <w:r w:rsidR="00A004BD" w:rsidRPr="00D844E6">
        <w:rPr>
          <w:rFonts w:asciiTheme="majorBidi" w:hAnsiTheme="majorBidi" w:cstheme="majorBidi"/>
          <w:sz w:val="24"/>
          <w:szCs w:val="24"/>
        </w:rPr>
        <w:t xml:space="preserve">l qui dépasse le la valeur BRMD ou l’intensification des  </w:t>
      </w:r>
      <w:r w:rsidRPr="00D844E6">
        <w:rPr>
          <w:rFonts w:asciiTheme="majorBidi" w:hAnsiTheme="majorBidi" w:cstheme="majorBidi"/>
          <w:sz w:val="24"/>
          <w:szCs w:val="24"/>
        </w:rPr>
        <w:t>flottilles </w:t>
      </w:r>
      <w:r w:rsidR="00A004BD" w:rsidRPr="00D844E6">
        <w:rPr>
          <w:rFonts w:asciiTheme="majorBidi" w:hAnsiTheme="majorBidi" w:cstheme="majorBidi"/>
          <w:sz w:val="24"/>
          <w:szCs w:val="24"/>
        </w:rPr>
        <w:t xml:space="preserve"> de la </w:t>
      </w:r>
      <w:r w:rsidRPr="00D844E6">
        <w:rPr>
          <w:rFonts w:asciiTheme="majorBidi" w:hAnsiTheme="majorBidi" w:cstheme="majorBidi"/>
          <w:sz w:val="24"/>
          <w:szCs w:val="24"/>
        </w:rPr>
        <w:t>pêche</w:t>
      </w:r>
      <w:r w:rsidR="00A004BD" w:rsidRPr="00D844E6">
        <w:rPr>
          <w:rFonts w:asciiTheme="majorBidi" w:hAnsiTheme="majorBidi" w:cstheme="majorBidi"/>
          <w:sz w:val="24"/>
          <w:szCs w:val="24"/>
        </w:rPr>
        <w:t xml:space="preserve"> à un </w:t>
      </w:r>
      <w:r w:rsidRPr="00D844E6">
        <w:rPr>
          <w:rFonts w:asciiTheme="majorBidi" w:hAnsiTheme="majorBidi" w:cstheme="majorBidi"/>
          <w:sz w:val="24"/>
          <w:szCs w:val="24"/>
        </w:rPr>
        <w:t>s</w:t>
      </w:r>
      <w:r w:rsidR="00A004BD" w:rsidRPr="00D844E6">
        <w:rPr>
          <w:rFonts w:asciiTheme="majorBidi" w:hAnsiTheme="majorBidi" w:cstheme="majorBidi"/>
          <w:sz w:val="24"/>
          <w:szCs w:val="24"/>
        </w:rPr>
        <w:t>euil qui dépasse FRMD, les  changements climatiques (acidification , l’augmentation de la stratification océanique…) et la dégradation des écosystèmes marins  par l’utilisation inadéquate de certains engins .</w:t>
      </w:r>
    </w:p>
    <w:p w:rsidR="008E7138" w:rsidRPr="00D844E6" w:rsidRDefault="008E7138" w:rsidP="003D38D2">
      <w:pPr>
        <w:spacing w:line="276" w:lineRule="auto"/>
        <w:jc w:val="both"/>
        <w:rPr>
          <w:rFonts w:asciiTheme="majorBidi" w:hAnsiTheme="majorBidi" w:cstheme="majorBidi"/>
          <w:sz w:val="24"/>
          <w:szCs w:val="24"/>
        </w:rPr>
      </w:pPr>
      <w:r w:rsidRPr="00D844E6">
        <w:rPr>
          <w:rFonts w:asciiTheme="majorBidi" w:hAnsiTheme="majorBidi" w:cstheme="majorBidi"/>
          <w:sz w:val="24"/>
          <w:szCs w:val="24"/>
        </w:rPr>
        <w:t xml:space="preserve">Cette situation peut avoir des retombées  néfastes surtout que lesespèces  </w:t>
      </w:r>
      <w:r w:rsidR="00B07C62" w:rsidRPr="00D844E6">
        <w:rPr>
          <w:rFonts w:asciiTheme="majorBidi" w:hAnsiTheme="majorBidi" w:cstheme="majorBidi"/>
          <w:sz w:val="24"/>
          <w:szCs w:val="24"/>
        </w:rPr>
        <w:t>interagissent</w:t>
      </w:r>
      <w:r w:rsidRPr="00D844E6">
        <w:rPr>
          <w:rFonts w:asciiTheme="majorBidi" w:hAnsiTheme="majorBidi" w:cstheme="majorBidi"/>
          <w:sz w:val="24"/>
          <w:szCs w:val="24"/>
        </w:rPr>
        <w:t xml:space="preserve"> entre elles  et le déclin d’une espèces  peut influencer sur les  autres (</w:t>
      </w:r>
      <w:r w:rsidR="00B07C62" w:rsidRPr="00D844E6">
        <w:rPr>
          <w:rFonts w:asciiTheme="majorBidi" w:hAnsiTheme="majorBidi" w:cstheme="majorBidi"/>
          <w:sz w:val="24"/>
          <w:szCs w:val="24"/>
        </w:rPr>
        <w:t>interaction</w:t>
      </w:r>
      <w:r w:rsidRPr="00D844E6">
        <w:rPr>
          <w:rFonts w:asciiTheme="majorBidi" w:hAnsiTheme="majorBidi" w:cstheme="majorBidi"/>
          <w:sz w:val="24"/>
          <w:szCs w:val="24"/>
        </w:rPr>
        <w:t xml:space="preserve"> inter-espèce et vous cite</w:t>
      </w:r>
      <w:r w:rsidR="003D38D2">
        <w:rPr>
          <w:rFonts w:asciiTheme="majorBidi" w:hAnsiTheme="majorBidi" w:cstheme="majorBidi"/>
          <w:sz w:val="24"/>
          <w:szCs w:val="24"/>
        </w:rPr>
        <w:t>z</w:t>
      </w:r>
      <w:r w:rsidRPr="00D844E6">
        <w:rPr>
          <w:rFonts w:asciiTheme="majorBidi" w:hAnsiTheme="majorBidi" w:cstheme="majorBidi"/>
          <w:sz w:val="24"/>
          <w:szCs w:val="24"/>
        </w:rPr>
        <w:t xml:space="preserve"> l’exemple de la morue), la diminution de la biodiversité ainsi que les pertes </w:t>
      </w:r>
      <w:r w:rsidR="00B07C62" w:rsidRPr="00D844E6">
        <w:rPr>
          <w:rFonts w:asciiTheme="majorBidi" w:hAnsiTheme="majorBidi" w:cstheme="majorBidi"/>
          <w:sz w:val="24"/>
          <w:szCs w:val="24"/>
        </w:rPr>
        <w:t xml:space="preserve"> socio-économique</w:t>
      </w:r>
      <w:r w:rsidRPr="00D844E6">
        <w:rPr>
          <w:rFonts w:asciiTheme="majorBidi" w:hAnsiTheme="majorBidi" w:cstheme="majorBidi"/>
          <w:sz w:val="24"/>
          <w:szCs w:val="24"/>
        </w:rPr>
        <w:t xml:space="preserve"> dans  le secteur de la </w:t>
      </w:r>
      <w:r w:rsidR="00B07C62" w:rsidRPr="00D844E6">
        <w:rPr>
          <w:rFonts w:asciiTheme="majorBidi" w:hAnsiTheme="majorBidi" w:cstheme="majorBidi"/>
          <w:sz w:val="24"/>
          <w:szCs w:val="24"/>
        </w:rPr>
        <w:t>pêche</w:t>
      </w:r>
      <w:r w:rsidRPr="00D844E6">
        <w:rPr>
          <w:rFonts w:asciiTheme="majorBidi" w:hAnsiTheme="majorBidi" w:cstheme="majorBidi"/>
          <w:sz w:val="24"/>
          <w:szCs w:val="24"/>
        </w:rPr>
        <w:t xml:space="preserve"> surtout les pays  qui vivent au profit des  produits  de la </w:t>
      </w:r>
      <w:r w:rsidR="00B07C62" w:rsidRPr="00D844E6">
        <w:rPr>
          <w:rFonts w:asciiTheme="majorBidi" w:hAnsiTheme="majorBidi" w:cstheme="majorBidi"/>
          <w:sz w:val="24"/>
          <w:szCs w:val="24"/>
        </w:rPr>
        <w:t>pêche</w:t>
      </w:r>
      <w:r w:rsidRPr="00D844E6">
        <w:rPr>
          <w:rFonts w:asciiTheme="majorBidi" w:hAnsiTheme="majorBidi" w:cstheme="majorBidi"/>
          <w:sz w:val="24"/>
          <w:szCs w:val="24"/>
        </w:rPr>
        <w:t>.</w:t>
      </w:r>
    </w:p>
    <w:p w:rsidR="00D844E6" w:rsidRPr="00D844E6" w:rsidRDefault="00D844E6" w:rsidP="00D844E6">
      <w:pPr>
        <w:spacing w:line="276" w:lineRule="auto"/>
        <w:jc w:val="both"/>
        <w:rPr>
          <w:rFonts w:asciiTheme="majorBidi" w:hAnsiTheme="majorBidi" w:cstheme="majorBidi"/>
          <w:b/>
          <w:bCs/>
          <w:sz w:val="24"/>
          <w:szCs w:val="24"/>
        </w:rPr>
      </w:pPr>
      <w:r w:rsidRPr="00D844E6">
        <w:rPr>
          <w:rFonts w:asciiTheme="majorBidi" w:hAnsiTheme="majorBidi" w:cstheme="majorBidi"/>
          <w:b/>
          <w:bCs/>
          <w:sz w:val="24"/>
          <w:szCs w:val="24"/>
        </w:rPr>
        <w:t>Question 2 :</w:t>
      </w:r>
    </w:p>
    <w:p w:rsidR="008E7138" w:rsidRPr="00D844E6" w:rsidRDefault="008E7138" w:rsidP="00D844E6">
      <w:pPr>
        <w:spacing w:line="276" w:lineRule="auto"/>
        <w:jc w:val="both"/>
        <w:rPr>
          <w:rFonts w:asciiTheme="majorBidi" w:hAnsiTheme="majorBidi" w:cstheme="majorBidi"/>
          <w:sz w:val="24"/>
          <w:szCs w:val="24"/>
        </w:rPr>
      </w:pPr>
      <w:r w:rsidRPr="00D844E6">
        <w:rPr>
          <w:rFonts w:asciiTheme="majorBidi" w:hAnsiTheme="majorBidi" w:cstheme="majorBidi"/>
          <w:sz w:val="24"/>
          <w:szCs w:val="24"/>
        </w:rPr>
        <w:t>Quelques</w:t>
      </w:r>
      <w:r w:rsidR="00B07C62" w:rsidRPr="00D844E6">
        <w:rPr>
          <w:rFonts w:asciiTheme="majorBidi" w:hAnsiTheme="majorBidi" w:cstheme="majorBidi"/>
          <w:sz w:val="24"/>
          <w:szCs w:val="24"/>
        </w:rPr>
        <w:t> solutions</w:t>
      </w:r>
      <w:r w:rsidRPr="00D844E6">
        <w:rPr>
          <w:rFonts w:asciiTheme="majorBidi" w:hAnsiTheme="majorBidi" w:cstheme="majorBidi"/>
          <w:sz w:val="24"/>
          <w:szCs w:val="24"/>
        </w:rPr>
        <w:t xml:space="preserve">  à adopter pour restaurer le déclin des  stocks  </w:t>
      </w:r>
      <w:r w:rsidR="00B07C62" w:rsidRPr="00D844E6">
        <w:rPr>
          <w:rFonts w:asciiTheme="majorBidi" w:hAnsiTheme="majorBidi" w:cstheme="majorBidi"/>
          <w:sz w:val="24"/>
          <w:szCs w:val="24"/>
        </w:rPr>
        <w:t>halieutiques</w:t>
      </w:r>
      <w:r w:rsidRPr="00D844E6">
        <w:rPr>
          <w:rFonts w:asciiTheme="majorBidi" w:hAnsiTheme="majorBidi" w:cstheme="majorBidi"/>
          <w:sz w:val="24"/>
          <w:szCs w:val="24"/>
        </w:rPr>
        <w:t> :</w:t>
      </w:r>
    </w:p>
    <w:p w:rsidR="008E7138" w:rsidRPr="00D844E6" w:rsidRDefault="008E7138" w:rsidP="00D844E6">
      <w:pPr>
        <w:pStyle w:val="ListParagraph"/>
        <w:numPr>
          <w:ilvl w:val="0"/>
          <w:numId w:val="1"/>
        </w:numPr>
        <w:spacing w:line="276" w:lineRule="auto"/>
        <w:jc w:val="both"/>
        <w:rPr>
          <w:rFonts w:asciiTheme="majorBidi" w:hAnsiTheme="majorBidi" w:cstheme="majorBidi"/>
          <w:sz w:val="24"/>
          <w:szCs w:val="24"/>
        </w:rPr>
      </w:pPr>
      <w:r w:rsidRPr="00D844E6">
        <w:rPr>
          <w:rFonts w:asciiTheme="majorBidi" w:hAnsiTheme="majorBidi" w:cstheme="majorBidi"/>
          <w:sz w:val="24"/>
          <w:szCs w:val="24"/>
        </w:rPr>
        <w:t>L’exploitation des</w:t>
      </w:r>
      <w:r w:rsidR="00D844E6" w:rsidRPr="00D844E6">
        <w:rPr>
          <w:rFonts w:asciiTheme="majorBidi" w:hAnsiTheme="majorBidi" w:cstheme="majorBidi"/>
          <w:sz w:val="24"/>
          <w:szCs w:val="24"/>
        </w:rPr>
        <w:t> produits de</w:t>
      </w:r>
      <w:r w:rsidRPr="00D844E6">
        <w:rPr>
          <w:rFonts w:asciiTheme="majorBidi" w:hAnsiTheme="majorBidi" w:cstheme="majorBidi"/>
          <w:sz w:val="24"/>
          <w:szCs w:val="24"/>
        </w:rPr>
        <w:t xml:space="preserve"> la </w:t>
      </w:r>
      <w:r w:rsidR="00B07C62" w:rsidRPr="00D844E6">
        <w:rPr>
          <w:rFonts w:asciiTheme="majorBidi" w:hAnsiTheme="majorBidi" w:cstheme="majorBidi"/>
          <w:sz w:val="24"/>
          <w:szCs w:val="24"/>
        </w:rPr>
        <w:t>pêche</w:t>
      </w:r>
      <w:r w:rsidRPr="00D844E6">
        <w:rPr>
          <w:rFonts w:asciiTheme="majorBidi" w:hAnsiTheme="majorBidi" w:cstheme="majorBidi"/>
          <w:sz w:val="24"/>
          <w:szCs w:val="24"/>
        </w:rPr>
        <w:t xml:space="preserve"> à une quantité ajustée au RMD (rendement maximum durable)</w:t>
      </w:r>
    </w:p>
    <w:p w:rsidR="008E7138" w:rsidRPr="00D844E6" w:rsidRDefault="008E7138" w:rsidP="00D844E6">
      <w:pPr>
        <w:pStyle w:val="ListParagraph"/>
        <w:numPr>
          <w:ilvl w:val="0"/>
          <w:numId w:val="1"/>
        </w:numPr>
        <w:spacing w:line="276" w:lineRule="auto"/>
        <w:jc w:val="both"/>
        <w:rPr>
          <w:rFonts w:asciiTheme="majorBidi" w:hAnsiTheme="majorBidi" w:cstheme="majorBidi"/>
          <w:sz w:val="24"/>
          <w:szCs w:val="24"/>
        </w:rPr>
      </w:pPr>
      <w:r w:rsidRPr="00D844E6">
        <w:rPr>
          <w:rFonts w:asciiTheme="majorBidi" w:hAnsiTheme="majorBidi" w:cstheme="majorBidi"/>
          <w:sz w:val="24"/>
          <w:szCs w:val="24"/>
        </w:rPr>
        <w:t>La détermination de taux autorisé de capture (TAC)</w:t>
      </w:r>
    </w:p>
    <w:p w:rsidR="008E7138" w:rsidRPr="00D844E6" w:rsidRDefault="008E7138" w:rsidP="00D844E6">
      <w:pPr>
        <w:pStyle w:val="ListParagraph"/>
        <w:numPr>
          <w:ilvl w:val="0"/>
          <w:numId w:val="1"/>
        </w:numPr>
        <w:spacing w:line="276" w:lineRule="auto"/>
        <w:jc w:val="both"/>
        <w:rPr>
          <w:rFonts w:asciiTheme="majorBidi" w:hAnsiTheme="majorBidi" w:cstheme="majorBidi"/>
          <w:sz w:val="24"/>
          <w:szCs w:val="24"/>
        </w:rPr>
      </w:pPr>
      <w:r w:rsidRPr="00D844E6">
        <w:rPr>
          <w:rFonts w:asciiTheme="majorBidi" w:hAnsiTheme="majorBidi" w:cstheme="majorBidi"/>
          <w:sz w:val="24"/>
          <w:szCs w:val="24"/>
        </w:rPr>
        <w:t xml:space="preserve">Le </w:t>
      </w:r>
      <w:r w:rsidR="00D844E6" w:rsidRPr="00D844E6">
        <w:rPr>
          <w:rFonts w:asciiTheme="majorBidi" w:hAnsiTheme="majorBidi" w:cstheme="majorBidi"/>
          <w:sz w:val="24"/>
          <w:szCs w:val="24"/>
        </w:rPr>
        <w:t>respect</w:t>
      </w:r>
      <w:r w:rsidRPr="00D844E6">
        <w:rPr>
          <w:rFonts w:asciiTheme="majorBidi" w:hAnsiTheme="majorBidi" w:cstheme="majorBidi"/>
          <w:sz w:val="24"/>
          <w:szCs w:val="24"/>
        </w:rPr>
        <w:t xml:space="preserve"> du repos</w:t>
      </w:r>
      <w:r w:rsidR="00D844E6" w:rsidRPr="00D844E6">
        <w:rPr>
          <w:rFonts w:asciiTheme="majorBidi" w:hAnsiTheme="majorBidi" w:cstheme="majorBidi"/>
          <w:sz w:val="24"/>
          <w:szCs w:val="24"/>
        </w:rPr>
        <w:t> biologiques</w:t>
      </w:r>
      <w:r w:rsidRPr="00D844E6">
        <w:rPr>
          <w:rFonts w:asciiTheme="majorBidi" w:hAnsiTheme="majorBidi" w:cstheme="majorBidi"/>
          <w:sz w:val="24"/>
          <w:szCs w:val="24"/>
        </w:rPr>
        <w:t> par les</w:t>
      </w:r>
      <w:r w:rsidR="00D844E6" w:rsidRPr="00D844E6">
        <w:rPr>
          <w:rFonts w:asciiTheme="majorBidi" w:hAnsiTheme="majorBidi" w:cstheme="majorBidi"/>
          <w:sz w:val="24"/>
          <w:szCs w:val="24"/>
        </w:rPr>
        <w:t> pêcheurs</w:t>
      </w:r>
      <w:r w:rsidRPr="00D844E6">
        <w:rPr>
          <w:rFonts w:asciiTheme="majorBidi" w:hAnsiTheme="majorBidi" w:cstheme="majorBidi"/>
          <w:sz w:val="24"/>
          <w:szCs w:val="24"/>
        </w:rPr>
        <w:t> </w:t>
      </w:r>
    </w:p>
    <w:p w:rsidR="008E7138" w:rsidRPr="00D844E6" w:rsidRDefault="008E7138" w:rsidP="00D844E6">
      <w:pPr>
        <w:pStyle w:val="ListParagraph"/>
        <w:numPr>
          <w:ilvl w:val="0"/>
          <w:numId w:val="1"/>
        </w:numPr>
        <w:spacing w:line="276" w:lineRule="auto"/>
        <w:jc w:val="both"/>
        <w:rPr>
          <w:rFonts w:asciiTheme="majorBidi" w:hAnsiTheme="majorBidi" w:cstheme="majorBidi"/>
          <w:sz w:val="24"/>
          <w:szCs w:val="24"/>
        </w:rPr>
      </w:pPr>
      <w:r w:rsidRPr="00D844E6">
        <w:rPr>
          <w:rFonts w:asciiTheme="majorBidi" w:hAnsiTheme="majorBidi" w:cstheme="majorBidi"/>
          <w:sz w:val="24"/>
          <w:szCs w:val="24"/>
        </w:rPr>
        <w:t xml:space="preserve">Interdiction de toute activité de la </w:t>
      </w:r>
      <w:r w:rsidR="00D844E6" w:rsidRPr="00D844E6">
        <w:rPr>
          <w:rFonts w:asciiTheme="majorBidi" w:hAnsiTheme="majorBidi" w:cstheme="majorBidi"/>
          <w:sz w:val="24"/>
          <w:szCs w:val="24"/>
        </w:rPr>
        <w:t>pêche</w:t>
      </w:r>
      <w:r w:rsidRPr="00D844E6">
        <w:rPr>
          <w:rFonts w:asciiTheme="majorBidi" w:hAnsiTheme="majorBidi" w:cstheme="majorBidi"/>
          <w:sz w:val="24"/>
          <w:szCs w:val="24"/>
        </w:rPr>
        <w:t xml:space="preserve"> (commerciale ou de loisir) </w:t>
      </w:r>
      <w:r w:rsidR="00D844E6" w:rsidRPr="00D844E6">
        <w:rPr>
          <w:rFonts w:asciiTheme="majorBidi" w:hAnsiTheme="majorBidi" w:cstheme="majorBidi"/>
          <w:sz w:val="24"/>
          <w:szCs w:val="24"/>
        </w:rPr>
        <w:t>s</w:t>
      </w:r>
      <w:r w:rsidRPr="00D844E6">
        <w:rPr>
          <w:rFonts w:asciiTheme="majorBidi" w:hAnsiTheme="majorBidi" w:cstheme="majorBidi"/>
          <w:sz w:val="24"/>
          <w:szCs w:val="24"/>
        </w:rPr>
        <w:t>ur certains</w:t>
      </w:r>
      <w:r w:rsidR="00D844E6" w:rsidRPr="00D844E6">
        <w:rPr>
          <w:rFonts w:asciiTheme="majorBidi" w:hAnsiTheme="majorBidi" w:cstheme="majorBidi"/>
          <w:sz w:val="24"/>
          <w:szCs w:val="24"/>
        </w:rPr>
        <w:t> stocks menacés</w:t>
      </w:r>
      <w:r w:rsidRPr="00D844E6">
        <w:rPr>
          <w:rFonts w:asciiTheme="majorBidi" w:hAnsiTheme="majorBidi" w:cstheme="majorBidi"/>
          <w:sz w:val="24"/>
          <w:szCs w:val="24"/>
        </w:rPr>
        <w:t> </w:t>
      </w:r>
    </w:p>
    <w:p w:rsidR="008E7138" w:rsidRDefault="008E7138" w:rsidP="00D844E6">
      <w:pPr>
        <w:pStyle w:val="ListParagraph"/>
        <w:numPr>
          <w:ilvl w:val="0"/>
          <w:numId w:val="1"/>
        </w:numPr>
        <w:spacing w:line="276" w:lineRule="auto"/>
        <w:jc w:val="both"/>
        <w:rPr>
          <w:rFonts w:asciiTheme="majorBidi" w:hAnsiTheme="majorBidi" w:cstheme="majorBidi"/>
          <w:sz w:val="24"/>
          <w:szCs w:val="24"/>
        </w:rPr>
      </w:pPr>
      <w:r w:rsidRPr="00D844E6">
        <w:rPr>
          <w:rFonts w:asciiTheme="majorBidi" w:hAnsiTheme="majorBidi" w:cstheme="majorBidi"/>
          <w:sz w:val="24"/>
          <w:szCs w:val="24"/>
        </w:rPr>
        <w:t>La mise en place des</w:t>
      </w:r>
      <w:r w:rsidR="00D844E6" w:rsidRPr="00D844E6">
        <w:rPr>
          <w:rFonts w:asciiTheme="majorBidi" w:hAnsiTheme="majorBidi" w:cstheme="majorBidi"/>
          <w:sz w:val="24"/>
          <w:szCs w:val="24"/>
        </w:rPr>
        <w:t> aires marines protégé</w:t>
      </w:r>
      <w:r w:rsidRPr="00D844E6">
        <w:rPr>
          <w:rFonts w:asciiTheme="majorBidi" w:hAnsiTheme="majorBidi" w:cstheme="majorBidi"/>
          <w:sz w:val="24"/>
          <w:szCs w:val="24"/>
        </w:rPr>
        <w:t xml:space="preserve"> (AMP) pour les  espèces en dangers .</w:t>
      </w:r>
      <w:bookmarkStart w:id="0" w:name="_GoBack"/>
      <w:bookmarkEnd w:id="0"/>
    </w:p>
    <w:p w:rsidR="00D844E6" w:rsidRDefault="00D844E6" w:rsidP="00D844E6">
      <w:pPr>
        <w:spacing w:line="276" w:lineRule="auto"/>
        <w:ind w:left="360"/>
        <w:jc w:val="both"/>
        <w:rPr>
          <w:rFonts w:asciiTheme="majorBidi" w:hAnsiTheme="majorBidi" w:cstheme="majorBidi"/>
          <w:b/>
          <w:bCs/>
          <w:sz w:val="24"/>
          <w:szCs w:val="24"/>
        </w:rPr>
      </w:pPr>
      <w:r w:rsidRPr="00D844E6">
        <w:rPr>
          <w:rFonts w:asciiTheme="majorBidi" w:hAnsiTheme="majorBidi" w:cstheme="majorBidi"/>
          <w:b/>
          <w:bCs/>
          <w:sz w:val="24"/>
          <w:szCs w:val="24"/>
        </w:rPr>
        <w:t xml:space="preserve">Question </w:t>
      </w:r>
      <w:r>
        <w:rPr>
          <w:rFonts w:asciiTheme="majorBidi" w:hAnsiTheme="majorBidi" w:cstheme="majorBidi"/>
          <w:b/>
          <w:bCs/>
          <w:sz w:val="24"/>
          <w:szCs w:val="24"/>
        </w:rPr>
        <w:t>3</w:t>
      </w:r>
    </w:p>
    <w:p w:rsidR="003D38D2" w:rsidRPr="003D38D2" w:rsidRDefault="003D38D2" w:rsidP="003D38D2">
      <w:pPr>
        <w:spacing w:line="276" w:lineRule="auto"/>
        <w:jc w:val="both"/>
        <w:rPr>
          <w:rFonts w:asciiTheme="majorBidi" w:hAnsiTheme="majorBidi" w:cstheme="majorBidi"/>
          <w:sz w:val="24"/>
          <w:szCs w:val="24"/>
        </w:rPr>
      </w:pPr>
      <w:r w:rsidRPr="003D38D2">
        <w:rPr>
          <w:rFonts w:asciiTheme="majorBidi" w:hAnsiTheme="majorBidi" w:cstheme="majorBidi"/>
          <w:sz w:val="24"/>
          <w:szCs w:val="24"/>
        </w:rPr>
        <w:t xml:space="preserve">L’objectif de l'utilisation des isotopes stables des réseaux trophiques est que les signatures ou </w:t>
      </w:r>
      <w:r w:rsidRPr="003D38D2">
        <w:rPr>
          <w:rFonts w:asciiTheme="majorBidi" w:hAnsiTheme="majorBidi" w:cstheme="majorBidi"/>
          <w:b/>
          <w:sz w:val="24"/>
          <w:szCs w:val="24"/>
        </w:rPr>
        <w:t>rapports isotopiques</w:t>
      </w:r>
      <w:r w:rsidRPr="003D38D2">
        <w:rPr>
          <w:rFonts w:asciiTheme="majorBidi" w:hAnsiTheme="majorBidi" w:cstheme="majorBidi"/>
          <w:sz w:val="24"/>
          <w:szCs w:val="24"/>
        </w:rPr>
        <w:t xml:space="preserve"> mesurés permettent de </w:t>
      </w:r>
      <w:r w:rsidRPr="003D38D2">
        <w:rPr>
          <w:rFonts w:asciiTheme="majorBidi" w:hAnsiTheme="majorBidi" w:cstheme="majorBidi"/>
          <w:b/>
          <w:sz w:val="24"/>
          <w:szCs w:val="24"/>
        </w:rPr>
        <w:t>reconstituer</w:t>
      </w:r>
      <w:r w:rsidRPr="003D38D2">
        <w:rPr>
          <w:rFonts w:asciiTheme="majorBidi" w:hAnsiTheme="majorBidi" w:cstheme="majorBidi"/>
          <w:sz w:val="24"/>
          <w:szCs w:val="24"/>
        </w:rPr>
        <w:t xml:space="preserve"> la structure du réseau.</w:t>
      </w:r>
    </w:p>
    <w:p w:rsidR="003D38D2" w:rsidRPr="003D38D2" w:rsidRDefault="003D38D2" w:rsidP="003D38D2">
      <w:pPr>
        <w:spacing w:line="276" w:lineRule="auto"/>
        <w:jc w:val="both"/>
        <w:rPr>
          <w:rFonts w:asciiTheme="majorBidi" w:hAnsiTheme="majorBidi" w:cstheme="majorBidi"/>
          <w:sz w:val="24"/>
          <w:szCs w:val="24"/>
        </w:rPr>
      </w:pPr>
      <w:r w:rsidRPr="003D38D2">
        <w:rPr>
          <w:rFonts w:asciiTheme="majorBidi" w:hAnsiTheme="majorBidi" w:cstheme="majorBidi"/>
          <w:sz w:val="24"/>
          <w:szCs w:val="24"/>
        </w:rPr>
        <w:t xml:space="preserve">Chaque organisme possède une </w:t>
      </w:r>
      <w:r w:rsidRPr="003D38D2">
        <w:rPr>
          <w:rFonts w:asciiTheme="majorBidi" w:hAnsiTheme="majorBidi" w:cstheme="majorBidi"/>
          <w:b/>
          <w:sz w:val="24"/>
          <w:szCs w:val="24"/>
        </w:rPr>
        <w:t>signature isotopique</w:t>
      </w:r>
      <w:r w:rsidRPr="003D38D2">
        <w:rPr>
          <w:rFonts w:asciiTheme="majorBidi" w:hAnsiTheme="majorBidi" w:cstheme="majorBidi"/>
          <w:sz w:val="24"/>
          <w:szCs w:val="24"/>
        </w:rPr>
        <w:t xml:space="preserve"> qui est plus ou moins conservée au sein de la chaîne trophique.  Lorsqu'un consommateur mange sa nourriture, il y a un </w:t>
      </w:r>
      <w:r w:rsidRPr="003D38D2">
        <w:rPr>
          <w:rFonts w:asciiTheme="majorBidi" w:hAnsiTheme="majorBidi" w:cstheme="majorBidi"/>
          <w:b/>
          <w:sz w:val="24"/>
          <w:szCs w:val="24"/>
        </w:rPr>
        <w:t>transfert d'énergie trophique</w:t>
      </w:r>
      <w:r w:rsidRPr="003D38D2">
        <w:rPr>
          <w:rFonts w:asciiTheme="majorBidi" w:hAnsiTheme="majorBidi" w:cstheme="majorBidi"/>
          <w:sz w:val="24"/>
          <w:szCs w:val="24"/>
        </w:rPr>
        <w:t xml:space="preserve"> qui s'accompagne d'un </w:t>
      </w:r>
      <w:r w:rsidRPr="003D38D2">
        <w:rPr>
          <w:rFonts w:asciiTheme="majorBidi" w:hAnsiTheme="majorBidi" w:cstheme="majorBidi"/>
          <w:b/>
          <w:sz w:val="24"/>
          <w:szCs w:val="24"/>
        </w:rPr>
        <w:t>fractionnement isotopique</w:t>
      </w:r>
      <w:r w:rsidRPr="003D38D2">
        <w:rPr>
          <w:rFonts w:asciiTheme="majorBidi" w:hAnsiTheme="majorBidi" w:cstheme="majorBidi"/>
          <w:sz w:val="24"/>
          <w:szCs w:val="24"/>
        </w:rPr>
        <w:t xml:space="preserve"> (Un fractionnement isotopique est une différence de comportement entre différents isotopes d'un même élément chimique lors d'un processus physique ou chimique donné, le ou les rapports isotopiques varient au cours du processus) de valeur variable en fonction de l'isotope considéré.</w:t>
      </w:r>
    </w:p>
    <w:p w:rsidR="003D38D2" w:rsidRPr="003D38D2" w:rsidRDefault="003D38D2" w:rsidP="003D38D2">
      <w:pPr>
        <w:spacing w:line="276" w:lineRule="auto"/>
        <w:jc w:val="both"/>
        <w:rPr>
          <w:rFonts w:asciiTheme="majorBidi" w:hAnsiTheme="majorBidi" w:cstheme="majorBidi"/>
          <w:b/>
          <w:sz w:val="24"/>
          <w:szCs w:val="24"/>
        </w:rPr>
      </w:pPr>
      <w:r w:rsidRPr="003D38D2">
        <w:rPr>
          <w:rFonts w:asciiTheme="majorBidi" w:hAnsiTheme="majorBidi" w:cstheme="majorBidi"/>
          <w:b/>
          <w:sz w:val="24"/>
          <w:szCs w:val="24"/>
        </w:rPr>
        <w:t xml:space="preserve">Ratio isotopique : </w:t>
      </w:r>
    </w:p>
    <w:p w:rsidR="003D38D2" w:rsidRDefault="003D38D2" w:rsidP="003D38D2">
      <w:pPr>
        <w:spacing w:line="276" w:lineRule="auto"/>
        <w:jc w:val="both"/>
        <w:rPr>
          <w:rFonts w:asciiTheme="majorBidi" w:hAnsiTheme="majorBidi" w:cstheme="majorBidi"/>
          <w:sz w:val="24"/>
          <w:szCs w:val="24"/>
        </w:rPr>
      </w:pPr>
    </w:p>
    <w:p w:rsidR="003D38D2" w:rsidRDefault="003D38D2" w:rsidP="003D38D2">
      <w:pPr>
        <w:spacing w:line="276" w:lineRule="auto"/>
        <w:jc w:val="both"/>
        <w:rPr>
          <w:rFonts w:asciiTheme="majorBidi" w:hAnsiTheme="majorBidi" w:cstheme="majorBidi"/>
          <w:sz w:val="24"/>
          <w:szCs w:val="24"/>
        </w:rPr>
      </w:pPr>
    </w:p>
    <w:p w:rsidR="003D38D2" w:rsidRPr="003D38D2" w:rsidRDefault="003D38D2" w:rsidP="003D38D2">
      <w:pPr>
        <w:spacing w:line="276" w:lineRule="auto"/>
        <w:jc w:val="both"/>
        <w:rPr>
          <w:rFonts w:asciiTheme="majorBidi" w:hAnsiTheme="majorBidi" w:cstheme="majorBidi"/>
          <w:sz w:val="24"/>
          <w:szCs w:val="24"/>
        </w:rPr>
      </w:pPr>
      <w:r w:rsidRPr="003D38D2">
        <w:rPr>
          <w:rFonts w:asciiTheme="majorBidi" w:hAnsiTheme="majorBidi" w:cstheme="majorBidi"/>
          <w:sz w:val="24"/>
          <w:szCs w:val="24"/>
        </w:rPr>
        <w:t>Le contenu isotopique d’un atome X d’un échantillon est représenté sous la forme d’un ratio isotopique :</w:t>
      </w:r>
    </w:p>
    <w:p w:rsidR="003D38D2" w:rsidRPr="003D38D2" w:rsidRDefault="003D38D2" w:rsidP="003D38D2">
      <w:pPr>
        <w:spacing w:line="276" w:lineRule="auto"/>
        <w:ind w:left="720"/>
        <w:jc w:val="both"/>
        <w:rPr>
          <w:rFonts w:asciiTheme="majorBidi" w:hAnsiTheme="majorBidi" w:cstheme="majorBidi"/>
          <w:sz w:val="24"/>
          <w:szCs w:val="24"/>
        </w:rPr>
      </w:pPr>
      <w:r w:rsidRPr="003D38D2">
        <w:rPr>
          <w:rFonts w:asciiTheme="majorBidi" w:hAnsiTheme="majorBidi" w:cstheme="majorBidi"/>
          <w:noProof/>
          <w:sz w:val="24"/>
          <w:szCs w:val="24"/>
          <w:lang w:eastAsia="fr-FR"/>
        </w:rPr>
        <w:drawing>
          <wp:inline distT="0" distB="0" distL="0" distR="0">
            <wp:extent cx="1762125" cy="333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333375"/>
                    </a:xfrm>
                    <a:prstGeom prst="rect">
                      <a:avLst/>
                    </a:prstGeom>
                    <a:noFill/>
                    <a:ln>
                      <a:noFill/>
                    </a:ln>
                  </pic:spPr>
                </pic:pic>
              </a:graphicData>
            </a:graphic>
          </wp:inline>
        </w:drawing>
      </w:r>
    </w:p>
    <w:p w:rsidR="003D38D2" w:rsidRPr="003D38D2" w:rsidRDefault="003D38D2" w:rsidP="003D38D2">
      <w:pPr>
        <w:spacing w:line="276" w:lineRule="auto"/>
        <w:ind w:left="720"/>
        <w:jc w:val="both"/>
        <w:rPr>
          <w:rFonts w:asciiTheme="majorBidi" w:hAnsiTheme="majorBidi" w:cstheme="majorBidi"/>
          <w:sz w:val="24"/>
          <w:szCs w:val="24"/>
        </w:rPr>
      </w:pPr>
      <w:r w:rsidRPr="003D38D2">
        <w:rPr>
          <w:rFonts w:asciiTheme="majorBidi" w:hAnsiTheme="majorBidi" w:cstheme="majorBidi"/>
          <w:sz w:val="24"/>
          <w:szCs w:val="24"/>
        </w:rPr>
        <w:t>R représente le rapport de l'isotope d'intérêt (</w:t>
      </w:r>
      <w:r w:rsidRPr="003D38D2">
        <w:rPr>
          <w:rFonts w:asciiTheme="majorBidi" w:hAnsiTheme="majorBidi" w:cstheme="majorBidi"/>
          <w:sz w:val="24"/>
          <w:szCs w:val="24"/>
          <w:vertAlign w:val="superscript"/>
        </w:rPr>
        <w:t>13</w:t>
      </w:r>
      <w:r w:rsidRPr="003D38D2">
        <w:rPr>
          <w:rFonts w:asciiTheme="majorBidi" w:hAnsiTheme="majorBidi" w:cstheme="majorBidi"/>
          <w:sz w:val="24"/>
          <w:szCs w:val="24"/>
        </w:rPr>
        <w:t xml:space="preserve">C ou </w:t>
      </w:r>
      <w:r w:rsidRPr="003D38D2">
        <w:rPr>
          <w:rFonts w:asciiTheme="majorBidi" w:hAnsiTheme="majorBidi" w:cstheme="majorBidi"/>
          <w:sz w:val="24"/>
          <w:szCs w:val="24"/>
          <w:vertAlign w:val="superscript"/>
        </w:rPr>
        <w:t>15</w:t>
      </w:r>
      <w:r w:rsidRPr="003D38D2">
        <w:rPr>
          <w:rFonts w:asciiTheme="majorBidi" w:hAnsiTheme="majorBidi" w:cstheme="majorBidi"/>
          <w:sz w:val="24"/>
          <w:szCs w:val="24"/>
        </w:rPr>
        <w:t xml:space="preserve">N) et de sa forme la plus commune (par exemple, </w:t>
      </w:r>
      <w:r w:rsidRPr="003D38D2">
        <w:rPr>
          <w:rFonts w:asciiTheme="majorBidi" w:hAnsiTheme="majorBidi" w:cstheme="majorBidi"/>
          <w:sz w:val="24"/>
          <w:szCs w:val="24"/>
          <w:vertAlign w:val="superscript"/>
        </w:rPr>
        <w:t>13</w:t>
      </w:r>
      <w:r w:rsidRPr="003D38D2">
        <w:rPr>
          <w:rFonts w:asciiTheme="majorBidi" w:hAnsiTheme="majorBidi" w:cstheme="majorBidi"/>
          <w:sz w:val="24"/>
          <w:szCs w:val="24"/>
        </w:rPr>
        <w:t xml:space="preserve">C et </w:t>
      </w:r>
      <w:r w:rsidRPr="003D38D2">
        <w:rPr>
          <w:rFonts w:asciiTheme="majorBidi" w:hAnsiTheme="majorBidi" w:cstheme="majorBidi"/>
          <w:sz w:val="24"/>
          <w:szCs w:val="24"/>
          <w:vertAlign w:val="superscript"/>
        </w:rPr>
        <w:t>12</w:t>
      </w:r>
      <w:r w:rsidRPr="003D38D2">
        <w:rPr>
          <w:rFonts w:asciiTheme="majorBidi" w:hAnsiTheme="majorBidi" w:cstheme="majorBidi"/>
          <w:sz w:val="24"/>
          <w:szCs w:val="24"/>
        </w:rPr>
        <w:t xml:space="preserve">C ou </w:t>
      </w:r>
      <w:r w:rsidRPr="003D38D2">
        <w:rPr>
          <w:rFonts w:asciiTheme="majorBidi" w:hAnsiTheme="majorBidi" w:cstheme="majorBidi"/>
          <w:sz w:val="24"/>
          <w:szCs w:val="24"/>
          <w:vertAlign w:val="superscript"/>
        </w:rPr>
        <w:t>15</w:t>
      </w:r>
      <w:r w:rsidRPr="003D38D2">
        <w:rPr>
          <w:rFonts w:asciiTheme="majorBidi" w:hAnsiTheme="majorBidi" w:cstheme="majorBidi"/>
          <w:sz w:val="24"/>
          <w:szCs w:val="24"/>
        </w:rPr>
        <w:t>N /</w:t>
      </w:r>
      <w:r w:rsidRPr="003D38D2">
        <w:rPr>
          <w:rFonts w:asciiTheme="majorBidi" w:hAnsiTheme="majorBidi" w:cstheme="majorBidi"/>
          <w:sz w:val="24"/>
          <w:szCs w:val="24"/>
          <w:vertAlign w:val="superscript"/>
        </w:rPr>
        <w:t xml:space="preserve"> 14</w:t>
      </w:r>
      <w:r w:rsidRPr="003D38D2">
        <w:rPr>
          <w:rFonts w:asciiTheme="majorBidi" w:hAnsiTheme="majorBidi" w:cstheme="majorBidi"/>
          <w:sz w:val="24"/>
          <w:szCs w:val="24"/>
        </w:rPr>
        <w:t xml:space="preserve">N). </w:t>
      </w:r>
    </w:p>
    <w:p w:rsidR="003D38D2" w:rsidRPr="003D38D2" w:rsidRDefault="003D38D2" w:rsidP="003D38D2">
      <w:pPr>
        <w:spacing w:line="276" w:lineRule="auto"/>
        <w:jc w:val="both"/>
        <w:rPr>
          <w:rFonts w:asciiTheme="majorBidi" w:hAnsiTheme="majorBidi" w:cstheme="majorBidi"/>
          <w:b/>
          <w:sz w:val="24"/>
          <w:szCs w:val="24"/>
        </w:rPr>
      </w:pPr>
      <w:r w:rsidRPr="003D38D2">
        <w:rPr>
          <w:rFonts w:asciiTheme="majorBidi" w:hAnsiTheme="majorBidi" w:cstheme="majorBidi"/>
          <w:b/>
          <w:sz w:val="24"/>
          <w:szCs w:val="24"/>
        </w:rPr>
        <w:t xml:space="preserve">Signification </w:t>
      </w:r>
      <w:r w:rsidRPr="003D38D2">
        <w:rPr>
          <w:rFonts w:asciiTheme="majorBidi" w:hAnsiTheme="majorBidi" w:cstheme="majorBidi"/>
          <w:b/>
          <w:bCs/>
          <w:sz w:val="24"/>
          <w:szCs w:val="24"/>
        </w:rPr>
        <w:t>du δ</w:t>
      </w:r>
      <w:r w:rsidRPr="003D38D2">
        <w:rPr>
          <w:rFonts w:asciiTheme="majorBidi" w:hAnsiTheme="majorBidi" w:cstheme="majorBidi"/>
          <w:b/>
          <w:bCs/>
          <w:sz w:val="24"/>
          <w:szCs w:val="24"/>
          <w:vertAlign w:val="superscript"/>
        </w:rPr>
        <w:t>15</w:t>
      </w:r>
      <w:r w:rsidRPr="003D38D2">
        <w:rPr>
          <w:rFonts w:asciiTheme="majorBidi" w:hAnsiTheme="majorBidi" w:cstheme="majorBidi"/>
          <w:b/>
          <w:bCs/>
          <w:sz w:val="24"/>
          <w:szCs w:val="24"/>
        </w:rPr>
        <w:t>N</w:t>
      </w:r>
    </w:p>
    <w:p w:rsidR="003D38D2" w:rsidRPr="003D38D2" w:rsidRDefault="003D38D2" w:rsidP="003D38D2">
      <w:pPr>
        <w:spacing w:line="276" w:lineRule="auto"/>
        <w:ind w:left="720"/>
        <w:jc w:val="both"/>
        <w:rPr>
          <w:rFonts w:asciiTheme="majorBidi" w:hAnsiTheme="majorBidi" w:cstheme="majorBidi"/>
          <w:sz w:val="24"/>
          <w:szCs w:val="24"/>
        </w:rPr>
      </w:pPr>
      <w:r w:rsidRPr="003D38D2">
        <w:rPr>
          <w:rFonts w:asciiTheme="majorBidi" w:hAnsiTheme="majorBidi" w:cstheme="majorBidi"/>
          <w:b/>
          <w:sz w:val="24"/>
          <w:szCs w:val="24"/>
        </w:rPr>
        <w:t>Si les valeurs δplus élevées</w:t>
      </w:r>
      <w:r w:rsidRPr="003D38D2">
        <w:rPr>
          <w:rFonts w:asciiTheme="majorBidi" w:hAnsiTheme="majorBidi" w:cstheme="majorBidi"/>
          <w:sz w:val="24"/>
          <w:szCs w:val="24"/>
        </w:rPr>
        <w:t xml:space="preserve"> (ou moins négatives) indiquent des </w:t>
      </w:r>
      <w:r w:rsidRPr="003D38D2">
        <w:rPr>
          <w:rFonts w:asciiTheme="majorBidi" w:hAnsiTheme="majorBidi" w:cstheme="majorBidi"/>
          <w:b/>
          <w:sz w:val="24"/>
          <w:szCs w:val="24"/>
        </w:rPr>
        <w:t>augmentations de l'isotope</w:t>
      </w:r>
      <w:r w:rsidRPr="003D38D2">
        <w:rPr>
          <w:rFonts w:asciiTheme="majorBidi" w:hAnsiTheme="majorBidi" w:cstheme="majorBidi"/>
          <w:sz w:val="24"/>
          <w:szCs w:val="24"/>
        </w:rPr>
        <w:t xml:space="preserve"> d'intérêt (</w:t>
      </w:r>
      <w:r w:rsidRPr="003D38D2">
        <w:rPr>
          <w:rFonts w:asciiTheme="majorBidi" w:hAnsiTheme="majorBidi" w:cstheme="majorBidi"/>
          <w:sz w:val="24"/>
          <w:szCs w:val="24"/>
          <w:vertAlign w:val="superscript"/>
        </w:rPr>
        <w:t>13</w:t>
      </w:r>
      <w:r w:rsidRPr="003D38D2">
        <w:rPr>
          <w:rFonts w:asciiTheme="majorBidi" w:hAnsiTheme="majorBidi" w:cstheme="majorBidi"/>
          <w:sz w:val="24"/>
          <w:szCs w:val="24"/>
        </w:rPr>
        <w:t xml:space="preserve">C ou </w:t>
      </w:r>
      <w:r w:rsidRPr="003D38D2">
        <w:rPr>
          <w:rFonts w:asciiTheme="majorBidi" w:hAnsiTheme="majorBidi" w:cstheme="majorBidi"/>
          <w:sz w:val="24"/>
          <w:szCs w:val="24"/>
          <w:vertAlign w:val="superscript"/>
        </w:rPr>
        <w:t>15</w:t>
      </w:r>
      <w:r w:rsidRPr="003D38D2">
        <w:rPr>
          <w:rFonts w:asciiTheme="majorBidi" w:hAnsiTheme="majorBidi" w:cstheme="majorBidi"/>
          <w:sz w:val="24"/>
          <w:szCs w:val="24"/>
        </w:rPr>
        <w:t>N) d'un échantillon.</w:t>
      </w:r>
    </w:p>
    <w:p w:rsidR="003D38D2" w:rsidRPr="003D38D2" w:rsidRDefault="003D38D2" w:rsidP="003D38D2">
      <w:pPr>
        <w:spacing w:line="276" w:lineRule="auto"/>
        <w:ind w:left="720"/>
        <w:jc w:val="both"/>
        <w:rPr>
          <w:rFonts w:asciiTheme="majorBidi" w:hAnsiTheme="majorBidi" w:cstheme="majorBidi"/>
          <w:sz w:val="24"/>
          <w:szCs w:val="24"/>
        </w:rPr>
      </w:pPr>
      <w:r w:rsidRPr="003D38D2">
        <w:rPr>
          <w:rFonts w:asciiTheme="majorBidi" w:hAnsiTheme="majorBidi" w:cstheme="majorBidi"/>
          <w:sz w:val="24"/>
          <w:szCs w:val="24"/>
        </w:rPr>
        <w:t>Si les valeurs i</w:t>
      </w:r>
      <w:r w:rsidRPr="003D38D2">
        <w:rPr>
          <w:rFonts w:asciiTheme="majorBidi" w:hAnsiTheme="majorBidi" w:cstheme="majorBidi"/>
          <w:b/>
          <w:sz w:val="24"/>
          <w:szCs w:val="24"/>
        </w:rPr>
        <w:t xml:space="preserve">nférieures </w:t>
      </w:r>
      <w:r w:rsidRPr="003D38D2">
        <w:rPr>
          <w:rFonts w:asciiTheme="majorBidi" w:hAnsiTheme="majorBidi" w:cstheme="majorBidi"/>
          <w:sz w:val="24"/>
          <w:szCs w:val="24"/>
        </w:rPr>
        <w:t xml:space="preserve">(ou plus négatives) indiquent </w:t>
      </w:r>
      <w:r w:rsidRPr="003D38D2">
        <w:rPr>
          <w:rFonts w:asciiTheme="majorBidi" w:hAnsiTheme="majorBidi" w:cstheme="majorBidi"/>
          <w:b/>
          <w:sz w:val="24"/>
          <w:szCs w:val="24"/>
        </w:rPr>
        <w:t>des diminutions de l'isotope</w:t>
      </w:r>
      <w:r w:rsidRPr="003D38D2">
        <w:rPr>
          <w:rFonts w:asciiTheme="majorBidi" w:hAnsiTheme="majorBidi" w:cstheme="majorBidi"/>
          <w:sz w:val="24"/>
          <w:szCs w:val="24"/>
        </w:rPr>
        <w:t>.</w:t>
      </w:r>
    </w:p>
    <w:p w:rsidR="003D38D2" w:rsidRPr="003D38D2" w:rsidRDefault="003D38D2" w:rsidP="003D38D2">
      <w:pPr>
        <w:spacing w:line="276" w:lineRule="auto"/>
        <w:jc w:val="both"/>
        <w:rPr>
          <w:rFonts w:asciiTheme="majorBidi" w:hAnsiTheme="majorBidi" w:cstheme="majorBidi"/>
          <w:sz w:val="24"/>
          <w:szCs w:val="24"/>
        </w:rPr>
      </w:pPr>
      <w:r w:rsidRPr="003D38D2">
        <w:rPr>
          <w:rFonts w:asciiTheme="majorBidi" w:hAnsiTheme="majorBidi" w:cstheme="majorBidi"/>
          <w:b/>
          <w:bCs/>
          <w:sz w:val="24"/>
          <w:szCs w:val="24"/>
        </w:rPr>
        <w:t>Analyse des isotopes stables (protocole) :</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Préparation des échantillons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Détermination du taux d’hydratation des tissus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Délipidation des échantillons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Lyophilisation des échantillons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Pulvérisation des échantillons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Pesée précise des échantillons en poudre</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Mesure des rapports isotopiques</w:t>
      </w:r>
    </w:p>
    <w:p w:rsidR="003D38D2" w:rsidRPr="003D38D2" w:rsidRDefault="003D38D2" w:rsidP="003D38D2">
      <w:pPr>
        <w:numPr>
          <w:ilvl w:val="0"/>
          <w:numId w:val="2"/>
        </w:numPr>
        <w:spacing w:after="200" w:line="276" w:lineRule="auto"/>
        <w:jc w:val="both"/>
        <w:rPr>
          <w:rFonts w:asciiTheme="majorBidi" w:hAnsiTheme="majorBidi" w:cstheme="majorBidi"/>
          <w:sz w:val="24"/>
          <w:szCs w:val="24"/>
        </w:rPr>
      </w:pPr>
      <w:r w:rsidRPr="003D38D2">
        <w:rPr>
          <w:rFonts w:asciiTheme="majorBidi" w:hAnsiTheme="majorBidi" w:cstheme="majorBidi"/>
          <w:bCs/>
          <w:sz w:val="24"/>
          <w:szCs w:val="24"/>
        </w:rPr>
        <w:t>Détermination du niveau trophique par mesure du δ</w:t>
      </w:r>
      <w:r w:rsidRPr="003D38D2">
        <w:rPr>
          <w:rFonts w:asciiTheme="majorBidi" w:hAnsiTheme="majorBidi" w:cstheme="majorBidi"/>
          <w:bCs/>
          <w:sz w:val="24"/>
          <w:szCs w:val="24"/>
          <w:vertAlign w:val="superscript"/>
        </w:rPr>
        <w:t>15</w:t>
      </w:r>
      <w:r w:rsidRPr="003D38D2">
        <w:rPr>
          <w:rFonts w:asciiTheme="majorBidi" w:hAnsiTheme="majorBidi" w:cstheme="majorBidi"/>
          <w:bCs/>
          <w:sz w:val="24"/>
          <w:szCs w:val="24"/>
        </w:rPr>
        <w:t>N</w:t>
      </w:r>
    </w:p>
    <w:p w:rsidR="003D38D2" w:rsidRPr="003D38D2" w:rsidRDefault="003D38D2" w:rsidP="003D38D2">
      <w:pPr>
        <w:spacing w:line="276" w:lineRule="auto"/>
        <w:ind w:left="720"/>
        <w:jc w:val="both"/>
        <w:rPr>
          <w:rFonts w:asciiTheme="majorBidi" w:hAnsiTheme="majorBidi" w:cstheme="majorBidi"/>
          <w:sz w:val="24"/>
          <w:szCs w:val="24"/>
        </w:rPr>
      </w:pPr>
    </w:p>
    <w:p w:rsidR="003D38D2" w:rsidRPr="003D38D2" w:rsidRDefault="003D38D2" w:rsidP="003D38D2">
      <w:pPr>
        <w:spacing w:line="276" w:lineRule="auto"/>
        <w:ind w:left="360"/>
        <w:jc w:val="both"/>
        <w:rPr>
          <w:rFonts w:asciiTheme="majorBidi" w:hAnsiTheme="majorBidi" w:cstheme="majorBidi"/>
          <w:sz w:val="24"/>
          <w:szCs w:val="24"/>
        </w:rPr>
      </w:pPr>
      <w:r w:rsidRPr="003D38D2">
        <w:rPr>
          <w:rFonts w:asciiTheme="majorBidi" w:hAnsiTheme="majorBidi" w:cstheme="majorBidi"/>
          <w:b/>
          <w:sz w:val="24"/>
          <w:szCs w:val="24"/>
        </w:rPr>
        <w:t>Question 3</w:t>
      </w:r>
      <w:r w:rsidRPr="003D38D2">
        <w:rPr>
          <w:rFonts w:asciiTheme="majorBidi" w:hAnsiTheme="majorBidi" w:cstheme="majorBidi"/>
          <w:sz w:val="24"/>
          <w:szCs w:val="24"/>
        </w:rPr>
        <w:t>:</w:t>
      </w:r>
    </w:p>
    <w:p w:rsidR="003D38D2" w:rsidRPr="003D38D2" w:rsidRDefault="003D38D2" w:rsidP="003D38D2">
      <w:pPr>
        <w:pStyle w:val="ListParagraph"/>
        <w:numPr>
          <w:ilvl w:val="0"/>
          <w:numId w:val="3"/>
        </w:numPr>
        <w:spacing w:after="0" w:line="276" w:lineRule="auto"/>
        <w:jc w:val="both"/>
        <w:rPr>
          <w:rFonts w:asciiTheme="majorBidi" w:hAnsiTheme="majorBidi" w:cstheme="majorBidi"/>
          <w:sz w:val="24"/>
          <w:szCs w:val="24"/>
        </w:rPr>
      </w:pPr>
      <w:r w:rsidRPr="003D38D2">
        <w:rPr>
          <w:rFonts w:asciiTheme="majorBidi" w:eastAsia="+mn-ea" w:hAnsiTheme="majorBidi" w:cstheme="majorBidi"/>
          <w:b/>
          <w:bCs/>
          <w:sz w:val="24"/>
          <w:szCs w:val="24"/>
        </w:rPr>
        <w:t>Définition</w:t>
      </w:r>
    </w:p>
    <w:p w:rsidR="003D38D2" w:rsidRPr="003D38D2" w:rsidRDefault="003D38D2" w:rsidP="003D38D2">
      <w:pPr>
        <w:pStyle w:val="ListParagraph"/>
        <w:spacing w:line="276" w:lineRule="auto"/>
        <w:jc w:val="both"/>
        <w:rPr>
          <w:rFonts w:asciiTheme="majorBidi" w:hAnsiTheme="majorBidi" w:cstheme="majorBidi"/>
          <w:sz w:val="24"/>
          <w:szCs w:val="24"/>
        </w:rPr>
      </w:pPr>
      <w:r w:rsidRPr="003D38D2">
        <w:rPr>
          <w:rFonts w:asciiTheme="majorBidi" w:hAnsiTheme="majorBidi" w:cstheme="majorBidi"/>
          <w:sz w:val="24"/>
          <w:szCs w:val="24"/>
        </w:rPr>
        <w:t xml:space="preserve">Une définition par UICN à Barcelone octobre 2008, </w:t>
      </w:r>
    </w:p>
    <w:p w:rsidR="003D38D2" w:rsidRPr="003D38D2" w:rsidRDefault="003D38D2" w:rsidP="003D38D2">
      <w:pPr>
        <w:pStyle w:val="ListParagraph"/>
        <w:spacing w:line="276" w:lineRule="auto"/>
        <w:jc w:val="both"/>
        <w:rPr>
          <w:rFonts w:asciiTheme="majorBidi" w:hAnsiTheme="majorBidi" w:cstheme="majorBidi"/>
          <w:sz w:val="24"/>
          <w:szCs w:val="24"/>
        </w:rPr>
      </w:pPr>
      <w:r w:rsidRPr="003D38D2">
        <w:rPr>
          <w:rFonts w:asciiTheme="majorBidi" w:hAnsiTheme="majorBidi" w:cstheme="majorBidi"/>
          <w:sz w:val="24"/>
          <w:szCs w:val="24"/>
        </w:rPr>
        <w:t xml:space="preserve">« Un espace géographique clairement défini, reconnu, dédié et géré par des moyens efficaces légaux et autres, pour atteindre la protection à long terme de la nature ainsi que des services d’écosystèmes et des valeurs culturelles associées. » </w:t>
      </w:r>
    </w:p>
    <w:p w:rsidR="003D38D2" w:rsidRPr="003D38D2" w:rsidRDefault="003D38D2" w:rsidP="003D38D2">
      <w:pPr>
        <w:pStyle w:val="ListParagraph"/>
        <w:spacing w:line="276" w:lineRule="auto"/>
        <w:jc w:val="both"/>
        <w:rPr>
          <w:rFonts w:asciiTheme="majorBidi" w:hAnsiTheme="majorBidi" w:cstheme="majorBidi"/>
          <w:sz w:val="24"/>
          <w:szCs w:val="24"/>
        </w:rPr>
      </w:pPr>
    </w:p>
    <w:p w:rsidR="003D38D2" w:rsidRPr="003D38D2" w:rsidRDefault="003D38D2" w:rsidP="003D38D2">
      <w:pPr>
        <w:pStyle w:val="ListParagraph"/>
        <w:numPr>
          <w:ilvl w:val="0"/>
          <w:numId w:val="3"/>
        </w:numPr>
        <w:spacing w:after="0" w:line="276" w:lineRule="auto"/>
        <w:jc w:val="both"/>
        <w:rPr>
          <w:rFonts w:asciiTheme="majorBidi" w:hAnsiTheme="majorBidi" w:cstheme="majorBidi"/>
          <w:sz w:val="24"/>
          <w:szCs w:val="24"/>
        </w:rPr>
      </w:pPr>
      <w:r w:rsidRPr="003D38D2">
        <w:rPr>
          <w:rFonts w:asciiTheme="majorBidi" w:hAnsiTheme="majorBidi" w:cstheme="majorBidi"/>
          <w:sz w:val="24"/>
          <w:szCs w:val="24"/>
        </w:rPr>
        <w:t>En Algérie : les Aires Spécialement Protégées d’Importance Méditerranéenne (ASPIM):</w:t>
      </w:r>
    </w:p>
    <w:p w:rsidR="003D38D2" w:rsidRPr="003D38D2" w:rsidRDefault="003D38D2" w:rsidP="003D38D2">
      <w:pPr>
        <w:pStyle w:val="ListParagraph"/>
        <w:spacing w:line="276" w:lineRule="auto"/>
        <w:jc w:val="both"/>
        <w:rPr>
          <w:rFonts w:asciiTheme="majorBidi" w:hAnsiTheme="majorBidi" w:cstheme="majorBidi"/>
          <w:b/>
          <w:bCs/>
          <w:sz w:val="24"/>
          <w:szCs w:val="24"/>
        </w:rPr>
      </w:pPr>
      <w:r w:rsidRPr="003D38D2">
        <w:rPr>
          <w:rFonts w:asciiTheme="majorBidi" w:hAnsiTheme="majorBidi" w:cstheme="majorBidi"/>
          <w:b/>
          <w:bCs/>
          <w:sz w:val="24"/>
          <w:szCs w:val="24"/>
        </w:rPr>
        <w:t>îlesHabibas</w:t>
      </w:r>
    </w:p>
    <w:p w:rsidR="003D38D2" w:rsidRPr="003D38D2" w:rsidRDefault="003D38D2" w:rsidP="003D38D2">
      <w:pPr>
        <w:pStyle w:val="ListParagraph"/>
        <w:spacing w:line="276" w:lineRule="auto"/>
        <w:jc w:val="both"/>
        <w:rPr>
          <w:rFonts w:asciiTheme="majorBidi" w:hAnsiTheme="majorBidi" w:cstheme="majorBidi"/>
          <w:b/>
          <w:bCs/>
          <w:sz w:val="24"/>
          <w:szCs w:val="24"/>
        </w:rPr>
      </w:pPr>
      <w:r w:rsidRPr="003D38D2">
        <w:rPr>
          <w:rFonts w:asciiTheme="majorBidi" w:hAnsiTheme="majorBidi" w:cstheme="majorBidi"/>
          <w:b/>
          <w:bCs/>
          <w:sz w:val="24"/>
          <w:szCs w:val="24"/>
        </w:rPr>
        <w:t xml:space="preserve">Réserve marine du banc des Kabyles </w:t>
      </w:r>
    </w:p>
    <w:p w:rsidR="003D38D2" w:rsidRPr="003D38D2" w:rsidRDefault="003D38D2" w:rsidP="003D38D2">
      <w:pPr>
        <w:pStyle w:val="ListParagraph"/>
        <w:spacing w:line="276" w:lineRule="auto"/>
        <w:jc w:val="both"/>
        <w:rPr>
          <w:rFonts w:asciiTheme="majorBidi" w:hAnsiTheme="majorBidi" w:cstheme="majorBidi"/>
          <w:b/>
          <w:bCs/>
          <w:sz w:val="24"/>
          <w:szCs w:val="24"/>
        </w:rPr>
      </w:pPr>
    </w:p>
    <w:p w:rsidR="003D38D2" w:rsidRPr="003D38D2" w:rsidRDefault="003D38D2" w:rsidP="003D38D2">
      <w:pPr>
        <w:pStyle w:val="ListParagraph"/>
        <w:spacing w:line="276" w:lineRule="auto"/>
        <w:ind w:left="0"/>
        <w:jc w:val="both"/>
        <w:rPr>
          <w:rFonts w:asciiTheme="majorBidi" w:hAnsiTheme="majorBidi" w:cstheme="majorBidi"/>
          <w:bCs/>
          <w:sz w:val="24"/>
          <w:szCs w:val="24"/>
        </w:rPr>
      </w:pPr>
    </w:p>
    <w:p w:rsidR="003D38D2" w:rsidRPr="003D38D2" w:rsidRDefault="003D38D2" w:rsidP="003D38D2">
      <w:pPr>
        <w:pStyle w:val="ListParagraph"/>
        <w:numPr>
          <w:ilvl w:val="0"/>
          <w:numId w:val="4"/>
        </w:numPr>
        <w:spacing w:after="0" w:line="276" w:lineRule="auto"/>
        <w:jc w:val="both"/>
        <w:rPr>
          <w:rFonts w:asciiTheme="majorBidi" w:hAnsiTheme="majorBidi" w:cstheme="majorBidi"/>
          <w:bCs/>
          <w:sz w:val="24"/>
          <w:szCs w:val="24"/>
        </w:rPr>
      </w:pPr>
      <w:r w:rsidRPr="003D38D2">
        <w:rPr>
          <w:rFonts w:asciiTheme="majorBidi" w:hAnsiTheme="majorBidi" w:cstheme="majorBidi"/>
          <w:b/>
          <w:bCs/>
          <w:sz w:val="24"/>
          <w:szCs w:val="24"/>
        </w:rPr>
        <w:t>Les îles Habibas re</w:t>
      </w:r>
      <w:r w:rsidRPr="003D38D2">
        <w:rPr>
          <w:rFonts w:asciiTheme="majorBidi" w:hAnsiTheme="majorBidi" w:cstheme="majorBidi"/>
          <w:bCs/>
          <w:sz w:val="24"/>
          <w:szCs w:val="24"/>
        </w:rPr>
        <w:t xml:space="preserve">présentent par une biodiversité terrestre et marine importante de la région Méditerranéenne. On  recense 97 espèces de plantes terrestres dont 9 sont des </w:t>
      </w:r>
      <w:r w:rsidRPr="003D38D2">
        <w:rPr>
          <w:rFonts w:asciiTheme="majorBidi" w:hAnsiTheme="majorBidi" w:cstheme="majorBidi"/>
          <w:bCs/>
          <w:color w:val="FF0000"/>
          <w:sz w:val="24"/>
          <w:szCs w:val="24"/>
        </w:rPr>
        <w:t xml:space="preserve">endémiques </w:t>
      </w:r>
      <w:r w:rsidRPr="003D38D2">
        <w:rPr>
          <w:rFonts w:asciiTheme="majorBidi" w:hAnsiTheme="majorBidi" w:cstheme="majorBidi"/>
          <w:bCs/>
          <w:sz w:val="24"/>
          <w:szCs w:val="24"/>
        </w:rPr>
        <w:t>de l’Afrique du Nord. La richesse floristique des îles Habibas se traduit par une grande diversité des zones de végétation à espèces pérennes (</w:t>
      </w:r>
      <w:r w:rsidRPr="003D38D2">
        <w:rPr>
          <w:rFonts w:asciiTheme="majorBidi" w:hAnsiTheme="majorBidi" w:cstheme="majorBidi"/>
          <w:bCs/>
          <w:i/>
          <w:iCs/>
          <w:sz w:val="24"/>
          <w:szCs w:val="24"/>
        </w:rPr>
        <w:t>FrankeniaCorymbosa, Ephedraaltissima</w:t>
      </w:r>
      <w:r w:rsidRPr="003D38D2">
        <w:rPr>
          <w:rFonts w:asciiTheme="majorBidi" w:hAnsiTheme="majorBidi" w:cstheme="majorBidi"/>
          <w:bCs/>
          <w:sz w:val="24"/>
          <w:szCs w:val="24"/>
        </w:rPr>
        <w:t>) représentant autant de niches écologiques fondamentales pour la faune ornithologique, dont quatre espèces d’oiseaux sont rares et endémiques (</w:t>
      </w:r>
      <w:r w:rsidRPr="003D38D2">
        <w:rPr>
          <w:rFonts w:asciiTheme="majorBidi" w:hAnsiTheme="majorBidi" w:cstheme="majorBidi"/>
          <w:bCs/>
          <w:i/>
          <w:iCs/>
          <w:sz w:val="24"/>
          <w:szCs w:val="24"/>
        </w:rPr>
        <w:t>Larusaudouinii, Phalacrocoraxaristoletis, Falco eleonorae</w:t>
      </w:r>
      <w:r w:rsidRPr="003D38D2">
        <w:rPr>
          <w:rFonts w:asciiTheme="majorBidi" w:hAnsiTheme="majorBidi" w:cstheme="majorBidi"/>
          <w:bCs/>
          <w:sz w:val="24"/>
          <w:szCs w:val="24"/>
        </w:rPr>
        <w:t xml:space="preserve">et </w:t>
      </w:r>
      <w:r w:rsidRPr="003D38D2">
        <w:rPr>
          <w:rFonts w:asciiTheme="majorBidi" w:hAnsiTheme="majorBidi" w:cstheme="majorBidi"/>
          <w:bCs/>
          <w:i/>
          <w:iCs/>
          <w:sz w:val="24"/>
          <w:szCs w:val="24"/>
        </w:rPr>
        <w:t>Calonectrisdiomedea</w:t>
      </w:r>
      <w:r w:rsidRPr="003D38D2">
        <w:rPr>
          <w:rFonts w:asciiTheme="majorBidi" w:hAnsiTheme="majorBidi" w:cstheme="majorBidi"/>
          <w:bCs/>
          <w:sz w:val="24"/>
          <w:szCs w:val="24"/>
        </w:rPr>
        <w:t xml:space="preserve">). La présence d'un lézard endémique </w:t>
      </w:r>
      <w:r w:rsidRPr="003D38D2">
        <w:rPr>
          <w:rFonts w:asciiTheme="majorBidi" w:hAnsiTheme="majorBidi" w:cstheme="majorBidi"/>
          <w:bCs/>
          <w:i/>
          <w:iCs/>
          <w:sz w:val="24"/>
          <w:szCs w:val="24"/>
        </w:rPr>
        <w:t>Lacertaperspicillata</w:t>
      </w:r>
      <w:r w:rsidRPr="003D38D2">
        <w:rPr>
          <w:rFonts w:asciiTheme="majorBidi" w:hAnsiTheme="majorBidi" w:cstheme="majorBidi"/>
          <w:bCs/>
          <w:sz w:val="24"/>
          <w:szCs w:val="24"/>
        </w:rPr>
        <w:t xml:space="preserve"> y a été signalée également. </w:t>
      </w:r>
    </w:p>
    <w:p w:rsidR="003D38D2" w:rsidRPr="003D38D2" w:rsidRDefault="003D38D2" w:rsidP="003D38D2">
      <w:pPr>
        <w:pStyle w:val="ListParagraph"/>
        <w:numPr>
          <w:ilvl w:val="0"/>
          <w:numId w:val="4"/>
        </w:numPr>
        <w:spacing w:after="0" w:line="276" w:lineRule="auto"/>
        <w:jc w:val="both"/>
        <w:rPr>
          <w:rFonts w:asciiTheme="majorBidi" w:hAnsiTheme="majorBidi" w:cstheme="majorBidi"/>
          <w:bCs/>
          <w:sz w:val="24"/>
          <w:szCs w:val="24"/>
        </w:rPr>
      </w:pPr>
      <w:r w:rsidRPr="003D38D2">
        <w:rPr>
          <w:rFonts w:asciiTheme="majorBidi" w:hAnsiTheme="majorBidi" w:cstheme="majorBidi"/>
          <w:bCs/>
          <w:color w:val="FF0000"/>
          <w:sz w:val="24"/>
          <w:szCs w:val="24"/>
        </w:rPr>
        <w:t>La biodiversité marine</w:t>
      </w:r>
      <w:r w:rsidRPr="003D38D2">
        <w:rPr>
          <w:rFonts w:asciiTheme="majorBidi" w:hAnsiTheme="majorBidi" w:cstheme="majorBidi"/>
          <w:bCs/>
          <w:sz w:val="24"/>
          <w:szCs w:val="24"/>
        </w:rPr>
        <w:t xml:space="preserve"> se caractérise par la présence de différentes espèces protégées en Méditerranée : </w:t>
      </w:r>
      <w:r w:rsidRPr="003D38D2">
        <w:rPr>
          <w:rFonts w:asciiTheme="majorBidi" w:hAnsiTheme="majorBidi" w:cstheme="majorBidi"/>
          <w:bCs/>
          <w:i/>
          <w:iCs/>
          <w:sz w:val="24"/>
          <w:szCs w:val="24"/>
        </w:rPr>
        <w:t>Lithophyllum lichenoides</w:t>
      </w:r>
      <w:r w:rsidRPr="003D38D2">
        <w:rPr>
          <w:rFonts w:asciiTheme="majorBidi" w:hAnsiTheme="majorBidi" w:cstheme="majorBidi"/>
          <w:bCs/>
          <w:sz w:val="24"/>
          <w:szCs w:val="24"/>
        </w:rPr>
        <w:t xml:space="preserve">, la patelle </w:t>
      </w:r>
      <w:r w:rsidRPr="003D38D2">
        <w:rPr>
          <w:rFonts w:asciiTheme="majorBidi" w:hAnsiTheme="majorBidi" w:cstheme="majorBidi"/>
          <w:bCs/>
          <w:i/>
          <w:iCs/>
          <w:sz w:val="24"/>
          <w:szCs w:val="24"/>
        </w:rPr>
        <w:t>géante Patella Ferruginea</w:t>
      </w:r>
      <w:r w:rsidRPr="003D38D2">
        <w:rPr>
          <w:rFonts w:asciiTheme="majorBidi" w:hAnsiTheme="majorBidi" w:cstheme="majorBidi"/>
          <w:bCs/>
          <w:sz w:val="24"/>
          <w:szCs w:val="24"/>
        </w:rPr>
        <w:t xml:space="preserve">, l'oursin diadème </w:t>
      </w:r>
      <w:r w:rsidRPr="003D38D2">
        <w:rPr>
          <w:rFonts w:asciiTheme="majorBidi" w:hAnsiTheme="majorBidi" w:cstheme="majorBidi"/>
          <w:bCs/>
          <w:i/>
          <w:iCs/>
          <w:sz w:val="24"/>
          <w:szCs w:val="24"/>
        </w:rPr>
        <w:t>Centrostephanuslongispinus</w:t>
      </w:r>
      <w:r w:rsidRPr="003D38D2">
        <w:rPr>
          <w:rFonts w:asciiTheme="majorBidi" w:hAnsiTheme="majorBidi" w:cstheme="majorBidi"/>
          <w:bCs/>
          <w:sz w:val="24"/>
          <w:szCs w:val="24"/>
        </w:rPr>
        <w:t xml:space="preserve">, le mérou brun </w:t>
      </w:r>
      <w:r w:rsidRPr="003D38D2">
        <w:rPr>
          <w:rFonts w:asciiTheme="majorBidi" w:hAnsiTheme="majorBidi" w:cstheme="majorBidi"/>
          <w:bCs/>
          <w:i/>
          <w:iCs/>
          <w:sz w:val="24"/>
          <w:szCs w:val="24"/>
        </w:rPr>
        <w:t>Epinephelusmarginatus</w:t>
      </w:r>
      <w:r w:rsidRPr="003D38D2">
        <w:rPr>
          <w:rFonts w:asciiTheme="majorBidi" w:hAnsiTheme="majorBidi" w:cstheme="majorBidi"/>
          <w:bCs/>
          <w:sz w:val="24"/>
          <w:szCs w:val="24"/>
        </w:rPr>
        <w:t xml:space="preserve">, la grande nacre </w:t>
      </w:r>
      <w:r w:rsidRPr="003D38D2">
        <w:rPr>
          <w:rFonts w:asciiTheme="majorBidi" w:hAnsiTheme="majorBidi" w:cstheme="majorBidi"/>
          <w:bCs/>
          <w:i/>
          <w:iCs/>
          <w:sz w:val="24"/>
          <w:szCs w:val="24"/>
        </w:rPr>
        <w:t>Pinnanobilis</w:t>
      </w:r>
      <w:r w:rsidRPr="003D38D2">
        <w:rPr>
          <w:rFonts w:asciiTheme="majorBidi" w:hAnsiTheme="majorBidi" w:cstheme="majorBidi"/>
          <w:bCs/>
          <w:sz w:val="24"/>
          <w:szCs w:val="24"/>
        </w:rPr>
        <w:t xml:space="preserve">, </w:t>
      </w:r>
      <w:r w:rsidRPr="003D38D2">
        <w:rPr>
          <w:rFonts w:asciiTheme="majorBidi" w:hAnsiTheme="majorBidi" w:cstheme="majorBidi"/>
          <w:bCs/>
          <w:i/>
          <w:iCs/>
          <w:sz w:val="24"/>
          <w:szCs w:val="24"/>
        </w:rPr>
        <w:t xml:space="preserve">le dauphin </w:t>
      </w:r>
      <w:r w:rsidRPr="003D38D2">
        <w:rPr>
          <w:rFonts w:asciiTheme="majorBidi" w:hAnsiTheme="majorBidi" w:cstheme="majorBidi"/>
          <w:bCs/>
          <w:sz w:val="24"/>
          <w:szCs w:val="24"/>
        </w:rPr>
        <w:t xml:space="preserve">blanc et bleu </w:t>
      </w:r>
      <w:r w:rsidRPr="003D38D2">
        <w:rPr>
          <w:rFonts w:asciiTheme="majorBidi" w:hAnsiTheme="majorBidi" w:cstheme="majorBidi"/>
          <w:bCs/>
          <w:i/>
          <w:iCs/>
          <w:sz w:val="24"/>
          <w:szCs w:val="24"/>
        </w:rPr>
        <w:t>Stenellacoeruleoalba</w:t>
      </w:r>
      <w:r w:rsidRPr="003D38D2">
        <w:rPr>
          <w:rFonts w:asciiTheme="majorBidi" w:hAnsiTheme="majorBidi" w:cstheme="majorBidi"/>
          <w:bCs/>
          <w:sz w:val="24"/>
          <w:szCs w:val="24"/>
        </w:rPr>
        <w:t>. Les mammifères marins et les Delphinidés sont également signalés.</w:t>
      </w:r>
    </w:p>
    <w:p w:rsidR="003D38D2" w:rsidRPr="003D38D2" w:rsidRDefault="003D38D2" w:rsidP="003D38D2">
      <w:pPr>
        <w:pStyle w:val="ListParagraph"/>
        <w:spacing w:line="276" w:lineRule="auto"/>
        <w:jc w:val="both"/>
        <w:rPr>
          <w:rFonts w:asciiTheme="majorBidi" w:hAnsiTheme="majorBidi" w:cstheme="majorBidi"/>
          <w:bCs/>
          <w:color w:val="FF0000"/>
          <w:sz w:val="24"/>
          <w:szCs w:val="24"/>
        </w:rPr>
      </w:pPr>
    </w:p>
    <w:p w:rsidR="003D38D2" w:rsidRPr="003D38D2" w:rsidRDefault="003D38D2" w:rsidP="003D38D2">
      <w:pPr>
        <w:pStyle w:val="ListParagraph"/>
        <w:spacing w:line="276" w:lineRule="auto"/>
        <w:jc w:val="both"/>
        <w:rPr>
          <w:rFonts w:asciiTheme="majorBidi" w:hAnsiTheme="majorBidi" w:cstheme="majorBidi"/>
          <w:bCs/>
          <w:sz w:val="24"/>
          <w:szCs w:val="24"/>
        </w:rPr>
      </w:pPr>
    </w:p>
    <w:p w:rsidR="003D38D2" w:rsidRPr="003D38D2" w:rsidRDefault="003D38D2" w:rsidP="003D38D2">
      <w:pPr>
        <w:pStyle w:val="ListParagraph"/>
        <w:numPr>
          <w:ilvl w:val="0"/>
          <w:numId w:val="4"/>
        </w:numPr>
        <w:spacing w:after="0" w:line="276" w:lineRule="auto"/>
        <w:jc w:val="both"/>
        <w:rPr>
          <w:rFonts w:asciiTheme="majorBidi" w:hAnsiTheme="majorBidi" w:cstheme="majorBidi"/>
          <w:bCs/>
          <w:sz w:val="24"/>
          <w:szCs w:val="24"/>
        </w:rPr>
      </w:pPr>
      <w:r w:rsidRPr="003D38D2">
        <w:rPr>
          <w:rFonts w:asciiTheme="majorBidi" w:hAnsiTheme="majorBidi" w:cstheme="majorBidi"/>
          <w:b/>
          <w:bCs/>
          <w:sz w:val="24"/>
          <w:szCs w:val="24"/>
        </w:rPr>
        <w:t>Réserve marine du banc des Kabyles</w:t>
      </w:r>
    </w:p>
    <w:p w:rsidR="003D38D2" w:rsidRPr="003D38D2" w:rsidRDefault="003D38D2" w:rsidP="003D38D2">
      <w:pPr>
        <w:pStyle w:val="ListParagraph"/>
        <w:spacing w:line="276" w:lineRule="auto"/>
        <w:jc w:val="both"/>
        <w:rPr>
          <w:rFonts w:asciiTheme="majorBidi" w:hAnsiTheme="majorBidi" w:cstheme="majorBidi"/>
          <w:bCs/>
          <w:sz w:val="24"/>
          <w:szCs w:val="24"/>
        </w:rPr>
      </w:pPr>
    </w:p>
    <w:p w:rsidR="003D38D2" w:rsidRPr="003D38D2" w:rsidRDefault="003D38D2" w:rsidP="003D38D2">
      <w:pPr>
        <w:pStyle w:val="ListParagraph"/>
        <w:spacing w:line="276" w:lineRule="auto"/>
        <w:jc w:val="both"/>
        <w:rPr>
          <w:rFonts w:asciiTheme="majorBidi" w:hAnsiTheme="majorBidi" w:cstheme="majorBidi"/>
          <w:bCs/>
          <w:sz w:val="24"/>
          <w:szCs w:val="24"/>
        </w:rPr>
      </w:pPr>
      <w:r w:rsidRPr="003D38D2">
        <w:rPr>
          <w:rFonts w:asciiTheme="majorBidi" w:hAnsiTheme="majorBidi" w:cstheme="majorBidi"/>
          <w:bCs/>
          <w:sz w:val="24"/>
          <w:szCs w:val="24"/>
        </w:rPr>
        <w:t xml:space="preserve">Plusieurs habitats sous-marins d’importance écologique sont présents au banc des Kabyles, notamment </w:t>
      </w:r>
      <w:r w:rsidRPr="003D38D2">
        <w:rPr>
          <w:rFonts w:asciiTheme="majorBidi" w:hAnsiTheme="majorBidi" w:cstheme="majorBidi"/>
          <w:bCs/>
          <w:color w:val="FF0000"/>
          <w:sz w:val="24"/>
          <w:szCs w:val="24"/>
        </w:rPr>
        <w:t>les herbiers de posidonie</w:t>
      </w:r>
      <w:r w:rsidRPr="003D38D2">
        <w:rPr>
          <w:rFonts w:asciiTheme="majorBidi" w:hAnsiTheme="majorBidi" w:cstheme="majorBidi"/>
          <w:bCs/>
          <w:sz w:val="24"/>
          <w:szCs w:val="24"/>
        </w:rPr>
        <w:t xml:space="preserve">, </w:t>
      </w:r>
      <w:r w:rsidRPr="003D38D2">
        <w:rPr>
          <w:rFonts w:asciiTheme="majorBidi" w:hAnsiTheme="majorBidi" w:cstheme="majorBidi"/>
          <w:bCs/>
          <w:color w:val="FF0000"/>
          <w:sz w:val="24"/>
          <w:szCs w:val="24"/>
        </w:rPr>
        <w:t>les mérous bruns</w:t>
      </w:r>
      <w:r w:rsidRPr="003D38D2">
        <w:rPr>
          <w:rFonts w:asciiTheme="majorBidi" w:hAnsiTheme="majorBidi" w:cstheme="majorBidi"/>
          <w:bCs/>
          <w:i/>
          <w:iCs/>
          <w:sz w:val="24"/>
          <w:szCs w:val="24"/>
        </w:rPr>
        <w:t>Epinephelusmarginatus</w:t>
      </w:r>
      <w:r w:rsidRPr="003D38D2">
        <w:rPr>
          <w:rFonts w:asciiTheme="majorBidi" w:hAnsiTheme="majorBidi" w:cstheme="majorBidi"/>
          <w:bCs/>
          <w:sz w:val="24"/>
          <w:szCs w:val="24"/>
        </w:rPr>
        <w:t>, les badèches</w:t>
      </w:r>
      <w:r w:rsidRPr="003D38D2">
        <w:rPr>
          <w:rFonts w:asciiTheme="majorBidi" w:hAnsiTheme="majorBidi" w:cstheme="majorBidi"/>
          <w:bCs/>
          <w:i/>
          <w:iCs/>
          <w:sz w:val="24"/>
          <w:szCs w:val="24"/>
        </w:rPr>
        <w:t>Epinepheluscostae</w:t>
      </w:r>
      <w:r w:rsidRPr="003D38D2">
        <w:rPr>
          <w:rFonts w:asciiTheme="majorBidi" w:hAnsiTheme="majorBidi" w:cstheme="majorBidi"/>
          <w:bCs/>
          <w:sz w:val="24"/>
          <w:szCs w:val="24"/>
        </w:rPr>
        <w:t xml:space="preserve">. On y rencontre d’autres </w:t>
      </w:r>
      <w:r w:rsidRPr="003D38D2">
        <w:rPr>
          <w:rFonts w:asciiTheme="majorBidi" w:hAnsiTheme="majorBidi" w:cstheme="majorBidi"/>
          <w:bCs/>
          <w:color w:val="FF0000"/>
          <w:sz w:val="24"/>
          <w:szCs w:val="24"/>
        </w:rPr>
        <w:t>espèces rares</w:t>
      </w:r>
      <w:r w:rsidRPr="003D38D2">
        <w:rPr>
          <w:rFonts w:asciiTheme="majorBidi" w:hAnsiTheme="majorBidi" w:cstheme="majorBidi"/>
          <w:bCs/>
          <w:sz w:val="24"/>
          <w:szCs w:val="24"/>
        </w:rPr>
        <w:t xml:space="preserve"> classées comme « en danger critique » par la liste rouge de l’IUCN : le cernier</w:t>
      </w:r>
      <w:r w:rsidRPr="003D38D2">
        <w:rPr>
          <w:rFonts w:asciiTheme="majorBidi" w:hAnsiTheme="majorBidi" w:cstheme="majorBidi"/>
          <w:bCs/>
          <w:i/>
          <w:iCs/>
          <w:sz w:val="24"/>
          <w:szCs w:val="24"/>
        </w:rPr>
        <w:t>Polyprionamericanus</w:t>
      </w:r>
      <w:r w:rsidRPr="003D38D2">
        <w:rPr>
          <w:rFonts w:asciiTheme="majorBidi" w:hAnsiTheme="majorBidi" w:cstheme="majorBidi"/>
          <w:bCs/>
          <w:sz w:val="24"/>
          <w:szCs w:val="24"/>
        </w:rPr>
        <w:t xml:space="preserve">. Le site constitue un refuge de différentes espèces de requins, comme le « vulnérable » requin renard commun </w:t>
      </w:r>
      <w:r w:rsidRPr="003D38D2">
        <w:rPr>
          <w:rFonts w:asciiTheme="majorBidi" w:hAnsiTheme="majorBidi" w:cstheme="majorBidi"/>
          <w:bCs/>
          <w:i/>
          <w:iCs/>
          <w:sz w:val="24"/>
          <w:szCs w:val="24"/>
        </w:rPr>
        <w:t>Alopias vulpinus</w:t>
      </w:r>
      <w:r w:rsidRPr="003D38D2">
        <w:rPr>
          <w:rFonts w:asciiTheme="majorBidi" w:hAnsiTheme="majorBidi" w:cstheme="majorBidi"/>
          <w:bCs/>
          <w:sz w:val="24"/>
          <w:szCs w:val="24"/>
        </w:rPr>
        <w:t xml:space="preserve">et le requin bleu </w:t>
      </w:r>
      <w:r w:rsidRPr="003D38D2">
        <w:rPr>
          <w:rFonts w:asciiTheme="majorBidi" w:hAnsiTheme="majorBidi" w:cstheme="majorBidi"/>
          <w:bCs/>
          <w:i/>
          <w:iCs/>
          <w:sz w:val="24"/>
          <w:szCs w:val="24"/>
        </w:rPr>
        <w:t>Prionaceglauca</w:t>
      </w:r>
      <w:r w:rsidRPr="003D38D2">
        <w:rPr>
          <w:rFonts w:asciiTheme="majorBidi" w:hAnsiTheme="majorBidi" w:cstheme="majorBidi"/>
          <w:bCs/>
          <w:sz w:val="24"/>
          <w:szCs w:val="24"/>
        </w:rPr>
        <w:t xml:space="preserve">, classé comme « presqu’en danger ». </w:t>
      </w:r>
    </w:p>
    <w:p w:rsidR="003D38D2" w:rsidRPr="003D38D2" w:rsidRDefault="003D38D2" w:rsidP="003D38D2">
      <w:pPr>
        <w:pStyle w:val="ListParagraph"/>
        <w:spacing w:line="276" w:lineRule="auto"/>
        <w:jc w:val="both"/>
        <w:rPr>
          <w:rFonts w:asciiTheme="majorBidi" w:hAnsiTheme="majorBidi" w:cstheme="majorBidi"/>
          <w:bCs/>
          <w:sz w:val="24"/>
          <w:szCs w:val="24"/>
        </w:rPr>
      </w:pPr>
    </w:p>
    <w:p w:rsidR="003D38D2" w:rsidRPr="003D38D2" w:rsidRDefault="003D38D2" w:rsidP="003D38D2">
      <w:pPr>
        <w:spacing w:line="276" w:lineRule="auto"/>
        <w:ind w:left="360"/>
        <w:jc w:val="both"/>
        <w:rPr>
          <w:rFonts w:asciiTheme="majorBidi" w:hAnsiTheme="majorBidi" w:cstheme="majorBidi"/>
          <w:sz w:val="28"/>
          <w:szCs w:val="28"/>
        </w:rPr>
      </w:pPr>
    </w:p>
    <w:p w:rsidR="00D844E6" w:rsidRPr="003D38D2" w:rsidRDefault="00D844E6" w:rsidP="003D38D2">
      <w:pPr>
        <w:spacing w:line="276" w:lineRule="auto"/>
        <w:ind w:left="360"/>
        <w:jc w:val="both"/>
        <w:rPr>
          <w:rFonts w:asciiTheme="majorBidi" w:hAnsiTheme="majorBidi" w:cstheme="majorBidi"/>
          <w:sz w:val="28"/>
          <w:szCs w:val="28"/>
        </w:rPr>
      </w:pPr>
    </w:p>
    <w:sectPr w:rsidR="00D844E6" w:rsidRPr="003D38D2" w:rsidSect="00C226E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490" w:rsidRDefault="00755490" w:rsidP="00D844E6">
      <w:pPr>
        <w:spacing w:after="0" w:line="240" w:lineRule="auto"/>
      </w:pPr>
      <w:r>
        <w:separator/>
      </w:r>
    </w:p>
  </w:endnote>
  <w:endnote w:type="continuationSeparator" w:id="1">
    <w:p w:rsidR="00755490" w:rsidRDefault="00755490" w:rsidP="00D84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490" w:rsidRDefault="00755490" w:rsidP="00D844E6">
      <w:pPr>
        <w:spacing w:after="0" w:line="240" w:lineRule="auto"/>
      </w:pPr>
      <w:r>
        <w:separator/>
      </w:r>
    </w:p>
  </w:footnote>
  <w:footnote w:type="continuationSeparator" w:id="1">
    <w:p w:rsidR="00755490" w:rsidRDefault="00755490" w:rsidP="00D844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E6" w:rsidRDefault="00D844E6" w:rsidP="00D844E6">
    <w:pPr>
      <w:pStyle w:val="Header"/>
      <w:rPr>
        <w:b/>
        <w:i/>
        <w:color w:val="212121"/>
      </w:rPr>
    </w:pPr>
    <w:r>
      <w:rPr>
        <w:noProof/>
        <w:lang w:eastAsia="fr-FR"/>
      </w:rPr>
      <w:drawing>
        <wp:anchor distT="0" distB="0" distL="0" distR="0" simplePos="0" relativeHeight="251659264" behindDoc="1" locked="0" layoutInCell="1" allowOverlap="1">
          <wp:simplePos x="0" y="0"/>
          <wp:positionH relativeFrom="margin">
            <wp:align>center</wp:align>
          </wp:positionH>
          <wp:positionV relativeFrom="paragraph">
            <wp:posOffset>-305435</wp:posOffset>
          </wp:positionV>
          <wp:extent cx="349885" cy="6070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607060"/>
                  </a:xfrm>
                  <a:prstGeom prst="rect">
                    <a:avLst/>
                  </a:prstGeom>
                  <a:noFill/>
                  <a:ln>
                    <a:noFill/>
                  </a:ln>
                </pic:spPr>
              </pic:pic>
            </a:graphicData>
          </a:graphic>
        </wp:anchor>
      </w:drawing>
    </w:r>
    <w:r>
      <w:rPr>
        <w:b/>
        <w:i/>
      </w:rPr>
      <w:t>UniversitéAbouBekrBelkaid</w:t>
    </w:r>
    <w:r>
      <w:rPr>
        <w:b/>
        <w:i/>
        <w:color w:val="212121"/>
      </w:rPr>
      <w:t>Tlemcen</w:t>
    </w:r>
    <w:r>
      <w:rPr>
        <w:b/>
        <w:i/>
        <w:color w:val="212121"/>
      </w:rPr>
      <w:tab/>
      <w:t xml:space="preserve">                                                    Master II : Science de la Mer</w:t>
    </w:r>
    <w:r>
      <w:rPr>
        <w:b/>
        <w:i/>
        <w:color w:val="212121"/>
      </w:rPr>
      <w:tab/>
    </w:r>
  </w:p>
  <w:p w:rsidR="00D844E6" w:rsidRDefault="00D844E6" w:rsidP="00D844E6">
    <w:pPr>
      <w:pStyle w:val="Header"/>
      <w:tabs>
        <w:tab w:val="clear" w:pos="4536"/>
        <w:tab w:val="clear" w:pos="9072"/>
        <w:tab w:val="left" w:pos="6690"/>
      </w:tabs>
      <w:rPr>
        <w:b/>
        <w:i/>
        <w:color w:val="212121"/>
      </w:rPr>
    </w:pPr>
    <w:r>
      <w:rPr>
        <w:b/>
        <w:i/>
        <w:color w:val="212121"/>
      </w:rPr>
      <w:t>Département d’Ecologie et Environnement                                           Année universitaire 2023/2024</w:t>
    </w:r>
  </w:p>
  <w:p w:rsidR="00D844E6" w:rsidRDefault="00D844E6" w:rsidP="00D844E6">
    <w:pPr>
      <w:pStyle w:val="Header"/>
      <w:jc w:val="center"/>
      <w:rPr>
        <w:b/>
        <w:iCs/>
        <w:color w:val="212121"/>
      </w:rPr>
    </w:pPr>
  </w:p>
  <w:p w:rsidR="00D844E6" w:rsidRPr="009F4FD7" w:rsidRDefault="00D844E6" w:rsidP="00867D03">
    <w:pPr>
      <w:pStyle w:val="Header"/>
      <w:jc w:val="center"/>
      <w:rPr>
        <w:iCs/>
      </w:rPr>
    </w:pPr>
    <w:r>
      <w:rPr>
        <w:b/>
        <w:iCs/>
        <w:color w:val="212121"/>
      </w:rPr>
      <w:t>Corrigé type</w:t>
    </w:r>
    <w:r w:rsidRPr="009F4FD7">
      <w:rPr>
        <w:b/>
        <w:iCs/>
        <w:color w:val="212121"/>
      </w:rPr>
      <w:t xml:space="preserve"> </w:t>
    </w:r>
    <w:r w:rsidR="00867D03">
      <w:rPr>
        <w:b/>
        <w:iCs/>
        <w:color w:val="212121"/>
      </w:rPr>
      <w:t>Devoir</w:t>
    </w:r>
    <w:r w:rsidRPr="009F4FD7">
      <w:rPr>
        <w:b/>
        <w:iCs/>
        <w:color w:val="212121"/>
      </w:rPr>
      <w:t> : Gestion des ressources exploitées</w:t>
    </w:r>
  </w:p>
  <w:p w:rsidR="00D844E6" w:rsidRDefault="00D844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519"/>
    <w:multiLevelType w:val="hybridMultilevel"/>
    <w:tmpl w:val="5D027BAA"/>
    <w:lvl w:ilvl="0" w:tplc="3E2C87E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301CC7"/>
    <w:multiLevelType w:val="hybridMultilevel"/>
    <w:tmpl w:val="FAEE3FE6"/>
    <w:lvl w:ilvl="0" w:tplc="E73EDC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F939ED"/>
    <w:multiLevelType w:val="hybridMultilevel"/>
    <w:tmpl w:val="D6D68D94"/>
    <w:lvl w:ilvl="0" w:tplc="C776A9B6">
      <w:start w:val="1"/>
      <w:numFmt w:val="bullet"/>
      <w:lvlText w:val="•"/>
      <w:lvlJc w:val="left"/>
      <w:pPr>
        <w:tabs>
          <w:tab w:val="num" w:pos="720"/>
        </w:tabs>
        <w:ind w:left="720" w:hanging="360"/>
      </w:pPr>
      <w:rPr>
        <w:rFonts w:ascii="Arial" w:hAnsi="Arial" w:hint="default"/>
      </w:rPr>
    </w:lvl>
    <w:lvl w:ilvl="1" w:tplc="40F08BF0" w:tentative="1">
      <w:start w:val="1"/>
      <w:numFmt w:val="bullet"/>
      <w:lvlText w:val="•"/>
      <w:lvlJc w:val="left"/>
      <w:pPr>
        <w:tabs>
          <w:tab w:val="num" w:pos="1440"/>
        </w:tabs>
        <w:ind w:left="1440" w:hanging="360"/>
      </w:pPr>
      <w:rPr>
        <w:rFonts w:ascii="Arial" w:hAnsi="Arial" w:hint="default"/>
      </w:rPr>
    </w:lvl>
    <w:lvl w:ilvl="2" w:tplc="0E6457E0" w:tentative="1">
      <w:start w:val="1"/>
      <w:numFmt w:val="bullet"/>
      <w:lvlText w:val="•"/>
      <w:lvlJc w:val="left"/>
      <w:pPr>
        <w:tabs>
          <w:tab w:val="num" w:pos="2160"/>
        </w:tabs>
        <w:ind w:left="2160" w:hanging="360"/>
      </w:pPr>
      <w:rPr>
        <w:rFonts w:ascii="Arial" w:hAnsi="Arial" w:hint="default"/>
      </w:rPr>
    </w:lvl>
    <w:lvl w:ilvl="3" w:tplc="AAC0230E" w:tentative="1">
      <w:start w:val="1"/>
      <w:numFmt w:val="bullet"/>
      <w:lvlText w:val="•"/>
      <w:lvlJc w:val="left"/>
      <w:pPr>
        <w:tabs>
          <w:tab w:val="num" w:pos="2880"/>
        </w:tabs>
        <w:ind w:left="2880" w:hanging="360"/>
      </w:pPr>
      <w:rPr>
        <w:rFonts w:ascii="Arial" w:hAnsi="Arial" w:hint="default"/>
      </w:rPr>
    </w:lvl>
    <w:lvl w:ilvl="4" w:tplc="4B80E782" w:tentative="1">
      <w:start w:val="1"/>
      <w:numFmt w:val="bullet"/>
      <w:lvlText w:val="•"/>
      <w:lvlJc w:val="left"/>
      <w:pPr>
        <w:tabs>
          <w:tab w:val="num" w:pos="3600"/>
        </w:tabs>
        <w:ind w:left="3600" w:hanging="360"/>
      </w:pPr>
      <w:rPr>
        <w:rFonts w:ascii="Arial" w:hAnsi="Arial" w:hint="default"/>
      </w:rPr>
    </w:lvl>
    <w:lvl w:ilvl="5" w:tplc="139A6702" w:tentative="1">
      <w:start w:val="1"/>
      <w:numFmt w:val="bullet"/>
      <w:lvlText w:val="•"/>
      <w:lvlJc w:val="left"/>
      <w:pPr>
        <w:tabs>
          <w:tab w:val="num" w:pos="4320"/>
        </w:tabs>
        <w:ind w:left="4320" w:hanging="360"/>
      </w:pPr>
      <w:rPr>
        <w:rFonts w:ascii="Arial" w:hAnsi="Arial" w:hint="default"/>
      </w:rPr>
    </w:lvl>
    <w:lvl w:ilvl="6" w:tplc="313E6C0E" w:tentative="1">
      <w:start w:val="1"/>
      <w:numFmt w:val="bullet"/>
      <w:lvlText w:val="•"/>
      <w:lvlJc w:val="left"/>
      <w:pPr>
        <w:tabs>
          <w:tab w:val="num" w:pos="5040"/>
        </w:tabs>
        <w:ind w:left="5040" w:hanging="360"/>
      </w:pPr>
      <w:rPr>
        <w:rFonts w:ascii="Arial" w:hAnsi="Arial" w:hint="default"/>
      </w:rPr>
    </w:lvl>
    <w:lvl w:ilvl="7" w:tplc="C018E8A4" w:tentative="1">
      <w:start w:val="1"/>
      <w:numFmt w:val="bullet"/>
      <w:lvlText w:val="•"/>
      <w:lvlJc w:val="left"/>
      <w:pPr>
        <w:tabs>
          <w:tab w:val="num" w:pos="5760"/>
        </w:tabs>
        <w:ind w:left="5760" w:hanging="360"/>
      </w:pPr>
      <w:rPr>
        <w:rFonts w:ascii="Arial" w:hAnsi="Arial" w:hint="default"/>
      </w:rPr>
    </w:lvl>
    <w:lvl w:ilvl="8" w:tplc="73A4D506" w:tentative="1">
      <w:start w:val="1"/>
      <w:numFmt w:val="bullet"/>
      <w:lvlText w:val="•"/>
      <w:lvlJc w:val="left"/>
      <w:pPr>
        <w:tabs>
          <w:tab w:val="num" w:pos="6480"/>
        </w:tabs>
        <w:ind w:left="6480" w:hanging="360"/>
      </w:pPr>
      <w:rPr>
        <w:rFonts w:ascii="Arial" w:hAnsi="Arial" w:hint="default"/>
      </w:rPr>
    </w:lvl>
  </w:abstractNum>
  <w:abstractNum w:abstractNumId="3">
    <w:nsid w:val="6A2C71D0"/>
    <w:multiLevelType w:val="hybridMultilevel"/>
    <w:tmpl w:val="2528E09C"/>
    <w:lvl w:ilvl="0" w:tplc="5DC4BEC2">
      <w:start w:val="1"/>
      <w:numFmt w:val="bullet"/>
      <w:lvlText w:val="•"/>
      <w:lvlJc w:val="left"/>
      <w:pPr>
        <w:tabs>
          <w:tab w:val="num" w:pos="720"/>
        </w:tabs>
        <w:ind w:left="720" w:hanging="360"/>
      </w:pPr>
      <w:rPr>
        <w:rFonts w:ascii="Arial" w:hAnsi="Arial" w:hint="default"/>
      </w:rPr>
    </w:lvl>
    <w:lvl w:ilvl="1" w:tplc="89D417B6" w:tentative="1">
      <w:start w:val="1"/>
      <w:numFmt w:val="bullet"/>
      <w:lvlText w:val="•"/>
      <w:lvlJc w:val="left"/>
      <w:pPr>
        <w:tabs>
          <w:tab w:val="num" w:pos="1440"/>
        </w:tabs>
        <w:ind w:left="1440" w:hanging="360"/>
      </w:pPr>
      <w:rPr>
        <w:rFonts w:ascii="Arial" w:hAnsi="Arial" w:hint="default"/>
      </w:rPr>
    </w:lvl>
    <w:lvl w:ilvl="2" w:tplc="EFAE656C" w:tentative="1">
      <w:start w:val="1"/>
      <w:numFmt w:val="bullet"/>
      <w:lvlText w:val="•"/>
      <w:lvlJc w:val="left"/>
      <w:pPr>
        <w:tabs>
          <w:tab w:val="num" w:pos="2160"/>
        </w:tabs>
        <w:ind w:left="2160" w:hanging="360"/>
      </w:pPr>
      <w:rPr>
        <w:rFonts w:ascii="Arial" w:hAnsi="Arial" w:hint="default"/>
      </w:rPr>
    </w:lvl>
    <w:lvl w:ilvl="3" w:tplc="765E7DC4" w:tentative="1">
      <w:start w:val="1"/>
      <w:numFmt w:val="bullet"/>
      <w:lvlText w:val="•"/>
      <w:lvlJc w:val="left"/>
      <w:pPr>
        <w:tabs>
          <w:tab w:val="num" w:pos="2880"/>
        </w:tabs>
        <w:ind w:left="2880" w:hanging="360"/>
      </w:pPr>
      <w:rPr>
        <w:rFonts w:ascii="Arial" w:hAnsi="Arial" w:hint="default"/>
      </w:rPr>
    </w:lvl>
    <w:lvl w:ilvl="4" w:tplc="3BA6CFA8" w:tentative="1">
      <w:start w:val="1"/>
      <w:numFmt w:val="bullet"/>
      <w:lvlText w:val="•"/>
      <w:lvlJc w:val="left"/>
      <w:pPr>
        <w:tabs>
          <w:tab w:val="num" w:pos="3600"/>
        </w:tabs>
        <w:ind w:left="3600" w:hanging="360"/>
      </w:pPr>
      <w:rPr>
        <w:rFonts w:ascii="Arial" w:hAnsi="Arial" w:hint="default"/>
      </w:rPr>
    </w:lvl>
    <w:lvl w:ilvl="5" w:tplc="F072CFA4" w:tentative="1">
      <w:start w:val="1"/>
      <w:numFmt w:val="bullet"/>
      <w:lvlText w:val="•"/>
      <w:lvlJc w:val="left"/>
      <w:pPr>
        <w:tabs>
          <w:tab w:val="num" w:pos="4320"/>
        </w:tabs>
        <w:ind w:left="4320" w:hanging="360"/>
      </w:pPr>
      <w:rPr>
        <w:rFonts w:ascii="Arial" w:hAnsi="Arial" w:hint="default"/>
      </w:rPr>
    </w:lvl>
    <w:lvl w:ilvl="6" w:tplc="8034E1D0" w:tentative="1">
      <w:start w:val="1"/>
      <w:numFmt w:val="bullet"/>
      <w:lvlText w:val="•"/>
      <w:lvlJc w:val="left"/>
      <w:pPr>
        <w:tabs>
          <w:tab w:val="num" w:pos="5040"/>
        </w:tabs>
        <w:ind w:left="5040" w:hanging="360"/>
      </w:pPr>
      <w:rPr>
        <w:rFonts w:ascii="Arial" w:hAnsi="Arial" w:hint="default"/>
      </w:rPr>
    </w:lvl>
    <w:lvl w:ilvl="7" w:tplc="82AC6E72" w:tentative="1">
      <w:start w:val="1"/>
      <w:numFmt w:val="bullet"/>
      <w:lvlText w:val="•"/>
      <w:lvlJc w:val="left"/>
      <w:pPr>
        <w:tabs>
          <w:tab w:val="num" w:pos="5760"/>
        </w:tabs>
        <w:ind w:left="5760" w:hanging="360"/>
      </w:pPr>
      <w:rPr>
        <w:rFonts w:ascii="Arial" w:hAnsi="Arial" w:hint="default"/>
      </w:rPr>
    </w:lvl>
    <w:lvl w:ilvl="8" w:tplc="72A6C4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004BD"/>
    <w:rsid w:val="003D38D2"/>
    <w:rsid w:val="004D787A"/>
    <w:rsid w:val="005718D9"/>
    <w:rsid w:val="006F5089"/>
    <w:rsid w:val="00755490"/>
    <w:rsid w:val="00867D03"/>
    <w:rsid w:val="008E7138"/>
    <w:rsid w:val="00A004BD"/>
    <w:rsid w:val="00B07C62"/>
    <w:rsid w:val="00C226E8"/>
    <w:rsid w:val="00D844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38"/>
    <w:pPr>
      <w:ind w:left="720"/>
      <w:contextualSpacing/>
    </w:pPr>
  </w:style>
  <w:style w:type="paragraph" w:styleId="Header">
    <w:name w:val="header"/>
    <w:basedOn w:val="Normal"/>
    <w:link w:val="HeaderChar"/>
    <w:uiPriority w:val="99"/>
    <w:unhideWhenUsed/>
    <w:rsid w:val="00D8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44E6"/>
  </w:style>
  <w:style w:type="paragraph" w:styleId="Footer">
    <w:name w:val="footer"/>
    <w:basedOn w:val="Normal"/>
    <w:link w:val="FooterChar"/>
    <w:uiPriority w:val="99"/>
    <w:unhideWhenUsed/>
    <w:rsid w:val="00D8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44E6"/>
  </w:style>
  <w:style w:type="paragraph" w:styleId="BalloonText">
    <w:name w:val="Balloon Text"/>
    <w:basedOn w:val="Normal"/>
    <w:link w:val="BalloonTextChar"/>
    <w:uiPriority w:val="99"/>
    <w:semiHidden/>
    <w:unhideWhenUsed/>
    <w:rsid w:val="00867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NESRINE PC</dc:creator>
  <cp:lastModifiedBy>user</cp:lastModifiedBy>
  <cp:revision>2</cp:revision>
  <dcterms:created xsi:type="dcterms:W3CDTF">2024-07-17T08:15:00Z</dcterms:created>
  <dcterms:modified xsi:type="dcterms:W3CDTF">2024-07-17T08:15:00Z</dcterms:modified>
</cp:coreProperties>
</file>