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31" w:rsidRPr="009E2637" w:rsidRDefault="00606B31" w:rsidP="00606B31">
      <w:pPr>
        <w:rPr>
          <w:rFonts w:cs="Arial"/>
          <w:color w:val="8DB3E2" w:themeColor="text2" w:themeTint="66"/>
          <w:sz w:val="28"/>
          <w:szCs w:val="28"/>
        </w:rPr>
      </w:pP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المحاضرة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رقم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1 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في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مقياس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>
        <w:rPr>
          <w:rFonts w:cs="Arial" w:hint="cs"/>
          <w:color w:val="8DB3E2" w:themeColor="text2" w:themeTint="66"/>
          <w:sz w:val="28"/>
          <w:szCs w:val="28"/>
          <w:rtl/>
        </w:rPr>
        <w:t>الأطر القانونية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 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قسم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الآثار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: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السنة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الثانية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proofErr w:type="spellStart"/>
      <w:r>
        <w:rPr>
          <w:rFonts w:cs="Arial" w:hint="cs"/>
          <w:color w:val="8DB3E2" w:themeColor="text2" w:themeTint="66"/>
          <w:sz w:val="28"/>
          <w:szCs w:val="28"/>
          <w:rtl/>
        </w:rPr>
        <w:t>ليصانص</w:t>
      </w:r>
      <w:proofErr w:type="spellEnd"/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  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الأستاذة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: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بن</w:t>
      </w:r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proofErr w:type="spellStart"/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اشنهو</w:t>
      </w:r>
      <w:proofErr w:type="spellEnd"/>
      <w:r w:rsidRPr="009E2637">
        <w:rPr>
          <w:rFonts w:cs="Arial"/>
          <w:color w:val="8DB3E2" w:themeColor="text2" w:themeTint="66"/>
          <w:sz w:val="28"/>
          <w:szCs w:val="28"/>
          <w:rtl/>
        </w:rPr>
        <w:t xml:space="preserve"> </w:t>
      </w:r>
      <w:r w:rsidRPr="009E2637">
        <w:rPr>
          <w:rFonts w:cs="Arial" w:hint="cs"/>
          <w:color w:val="8DB3E2" w:themeColor="text2" w:themeTint="66"/>
          <w:sz w:val="28"/>
          <w:szCs w:val="28"/>
          <w:rtl/>
        </w:rPr>
        <w:t>نجية</w:t>
      </w:r>
    </w:p>
    <w:p w:rsidR="00CB7C61" w:rsidRDefault="00CB7C61" w:rsidP="00CB7C61">
      <w:pPr>
        <w:bidi/>
        <w:jc w:val="center"/>
        <w:rPr>
          <w:rFonts w:hint="cs"/>
          <w:sz w:val="28"/>
          <w:szCs w:val="28"/>
          <w:rtl/>
          <w:lang w:bidi="ar-DZ"/>
        </w:rPr>
      </w:pPr>
    </w:p>
    <w:p w:rsidR="00033989" w:rsidRPr="0001176D" w:rsidRDefault="00CB7C61" w:rsidP="00CB7C61">
      <w:pPr>
        <w:bidi/>
        <w:jc w:val="center"/>
        <w:rPr>
          <w:rFonts w:hint="cs"/>
          <w:b/>
          <w:bCs/>
          <w:sz w:val="36"/>
          <w:szCs w:val="36"/>
          <w:u w:val="single"/>
          <w:rtl/>
          <w:lang w:bidi="ar-DZ"/>
        </w:rPr>
      </w:pPr>
      <w:proofErr w:type="gramStart"/>
      <w:r w:rsidRPr="0001176D">
        <w:rPr>
          <w:b/>
          <w:bCs/>
          <w:sz w:val="36"/>
          <w:szCs w:val="36"/>
          <w:u w:val="single"/>
          <w:rtl/>
          <w:lang w:bidi="ar-DZ"/>
        </w:rPr>
        <w:t>تعريف</w:t>
      </w:r>
      <w:proofErr w:type="gramEnd"/>
      <w:r w:rsidRPr="0001176D">
        <w:rPr>
          <w:b/>
          <w:bCs/>
          <w:sz w:val="36"/>
          <w:szCs w:val="36"/>
          <w:u w:val="single"/>
          <w:rtl/>
          <w:lang w:bidi="ar-DZ"/>
        </w:rPr>
        <w:t xml:space="preserve"> القانون</w:t>
      </w:r>
    </w:p>
    <w:p w:rsidR="00CB7C61" w:rsidRDefault="0001176D" w:rsidP="00CB7C61">
      <w:pPr>
        <w:numPr>
          <w:ilvl w:val="0"/>
          <w:numId w:val="1"/>
        </w:numPr>
        <w:bidi/>
        <w:rPr>
          <w:rFonts w:hint="cs"/>
          <w:sz w:val="28"/>
          <w:szCs w:val="28"/>
          <w:lang w:bidi="ar-DZ"/>
        </w:rPr>
      </w:pPr>
      <w:r w:rsidRPr="00CB7C61">
        <w:rPr>
          <w:sz w:val="28"/>
          <w:szCs w:val="28"/>
          <w:rtl/>
          <w:lang w:bidi="ar-DZ"/>
        </w:rPr>
        <w:t xml:space="preserve">قاعدة عامة ومجردة يتساوى أمامها الجميع من شأنه أن تعبر عن إرادة </w:t>
      </w:r>
      <w:r w:rsidRPr="00AB12DE">
        <w:rPr>
          <w:rtl/>
          <w:lang w:bidi="ar-DZ"/>
        </w:rPr>
        <w:t>الشعب</w:t>
      </w:r>
      <w:proofErr w:type="gramStart"/>
      <w:r w:rsidRPr="00CB7C61">
        <w:rPr>
          <w:sz w:val="28"/>
          <w:szCs w:val="28"/>
          <w:rtl/>
          <w:lang w:bidi="ar-DZ"/>
        </w:rPr>
        <w:t>،يعدها</w:t>
      </w:r>
      <w:proofErr w:type="gramEnd"/>
      <w:r w:rsidRPr="00CB7C61">
        <w:rPr>
          <w:sz w:val="28"/>
          <w:szCs w:val="28"/>
          <w:rtl/>
          <w:lang w:bidi="ar-DZ"/>
        </w:rPr>
        <w:t xml:space="preserve"> ويصوت عليها</w:t>
      </w:r>
      <w:r w:rsidRPr="00CB7C61">
        <w:rPr>
          <w:sz w:val="28"/>
          <w:szCs w:val="28"/>
          <w:lang w:bidi="ar-DZ"/>
        </w:rPr>
        <w:t xml:space="preserve"> </w:t>
      </w:r>
      <w:r w:rsidRPr="00CB7C61">
        <w:rPr>
          <w:sz w:val="28"/>
          <w:szCs w:val="28"/>
          <w:rtl/>
          <w:lang w:bidi="ar-DZ"/>
        </w:rPr>
        <w:t>مجلس منتخب</w:t>
      </w:r>
      <w:r w:rsidR="00CB7C61">
        <w:rPr>
          <w:rFonts w:hint="cs"/>
          <w:sz w:val="28"/>
          <w:szCs w:val="28"/>
          <w:rtl/>
          <w:lang w:bidi="ar-DZ"/>
        </w:rPr>
        <w:t>.</w:t>
      </w:r>
    </w:p>
    <w:tbl>
      <w:tblPr>
        <w:tblW w:w="12960" w:type="dxa"/>
        <w:jc w:val="center"/>
        <w:tblCellMar>
          <w:left w:w="0" w:type="dxa"/>
          <w:right w:w="0" w:type="dxa"/>
        </w:tblCellMar>
        <w:tblLook w:val="04A0"/>
      </w:tblPr>
      <w:tblGrid>
        <w:gridCol w:w="6480"/>
        <w:gridCol w:w="6480"/>
      </w:tblGrid>
      <w:tr w:rsidR="00CB7C61" w:rsidRPr="00CB7C61" w:rsidTr="00CB7C61">
        <w:trPr>
          <w:trHeight w:val="1667"/>
          <w:jc w:val="center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61" w:rsidRPr="00CB7C61" w:rsidRDefault="00CB7C61" w:rsidP="00CB7C6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proofErr w:type="gramStart"/>
            <w:r w:rsidRPr="00CB7C61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eastAsia="fr-FR"/>
              </w:rPr>
              <w:t>القانون</w:t>
            </w:r>
            <w:proofErr w:type="gramEnd"/>
            <w:r w:rsidRPr="00CB7C61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eastAsia="fr-FR"/>
              </w:rPr>
              <w:t xml:space="preserve"> الخاص</w:t>
            </w:r>
            <w:r w:rsidRPr="00CB7C61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fr-FR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61" w:rsidRPr="00CB7C61" w:rsidRDefault="00CB7C61" w:rsidP="00813894">
            <w:pPr>
              <w:bidi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B7C61">
              <w:rPr>
                <w:rFonts w:ascii="Calibri" w:eastAsia="Times New Roman" w:hAnsi="Arial" w:cs="Arial"/>
                <w:b/>
                <w:bCs/>
                <w:color w:val="FFFFFF"/>
                <w:kern w:val="24"/>
                <w:rtl/>
                <w:lang w:eastAsia="fr-FR" w:bidi="ar-DZ"/>
              </w:rPr>
              <w:t>القانون العام</w:t>
            </w:r>
          </w:p>
        </w:tc>
      </w:tr>
      <w:tr w:rsidR="00CB7C61" w:rsidRPr="00CB7C61" w:rsidTr="00893E17">
        <w:trPr>
          <w:trHeight w:val="3067"/>
          <w:jc w:val="center"/>
        </w:trPr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61" w:rsidRPr="00CB7C61" w:rsidRDefault="00CB7C61" w:rsidP="00CB7C61">
            <w:pPr>
              <w:bidi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>نوعية أشخاص أطراف العلاقة القانونية:</w:t>
            </w:r>
            <w:r w:rsidRPr="00CB7C61">
              <w:rPr>
                <w:rFonts w:ascii="Calibri" w:eastAsia="Times New Roman" w:hAnsi="Calibri" w:cs="Calibri"/>
                <w:color w:val="000000"/>
                <w:kern w:val="24"/>
                <w:lang w:eastAsia="fr-FR"/>
              </w:rPr>
              <w:t xml:space="preserve"> </w:t>
            </w:r>
          </w:p>
          <w:p w:rsidR="00CB7C61" w:rsidRPr="00CB7C61" w:rsidRDefault="00CB7C61" w:rsidP="00CB7C61">
            <w:pPr>
              <w:bidi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 xml:space="preserve">أ-- </w:t>
            </w:r>
            <w:proofErr w:type="gramStart"/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>في</w:t>
            </w:r>
            <w:proofErr w:type="gramEnd"/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 xml:space="preserve"> حالة ما إذا</w:t>
            </w:r>
            <w:r w:rsidR="00893E17">
              <w:rPr>
                <w:rFonts w:ascii="Calibri" w:eastAsia="Times New Roman" w:hAnsi="Arial" w:cs="Arial" w:hint="cs"/>
                <w:color w:val="000000"/>
                <w:kern w:val="24"/>
                <w:rtl/>
                <w:lang w:eastAsia="fr-FR"/>
              </w:rPr>
              <w:t xml:space="preserve"> </w:t>
            </w: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>كان</w:t>
            </w:r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 xml:space="preserve"> أطراف العلاقة أشخاص عاديين</w:t>
            </w:r>
            <w:r w:rsidRPr="00CB7C61">
              <w:rPr>
                <w:rFonts w:ascii="Calibri" w:eastAsia="Times New Roman" w:hAnsi="Calibri" w:cs="Calibri"/>
                <w:color w:val="000000"/>
                <w:kern w:val="24"/>
                <w:lang w:eastAsia="fr-FR"/>
              </w:rPr>
              <w:t xml:space="preserve"> </w:t>
            </w:r>
          </w:p>
          <w:p w:rsidR="00CB7C61" w:rsidRPr="00CB7C61" w:rsidRDefault="00CB7C61" w:rsidP="00CB7C61">
            <w:pPr>
              <w:bidi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>ب-- طبيعة القواعد القانونية مكملة يمكن الاتفاق على مخالفتها</w:t>
            </w:r>
            <w:r w:rsidRPr="00CB7C61">
              <w:rPr>
                <w:rFonts w:ascii="Calibri" w:eastAsia="Times New Roman" w:hAnsi="Calibri" w:cs="Calibri"/>
                <w:color w:val="000000"/>
                <w:kern w:val="24"/>
                <w:lang w:eastAsia="fr-FR"/>
              </w:rPr>
              <w:t xml:space="preserve"> </w:t>
            </w:r>
          </w:p>
          <w:p w:rsidR="00CB7C61" w:rsidRPr="00CB7C61" w:rsidRDefault="00CB7C61" w:rsidP="00CB7C61">
            <w:pPr>
              <w:bidi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 xml:space="preserve">(انتقادات ليست كلها متكاملة بل هي مزيج من القواعد الآمرة </w:t>
            </w: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>و</w:t>
            </w:r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 xml:space="preserve"> المكملة</w:t>
            </w:r>
            <w:r w:rsidRPr="00CB7C61">
              <w:rPr>
                <w:rFonts w:ascii="Calibri" w:eastAsia="Times New Roman" w:hAnsi="Calibri" w:cs="Calibri"/>
                <w:color w:val="000000"/>
                <w:kern w:val="24"/>
                <w:lang w:eastAsia="fr-FR"/>
              </w:rPr>
              <w:t xml:space="preserve"> </w:t>
            </w:r>
          </w:p>
          <w:p w:rsidR="00CB7C61" w:rsidRPr="00CB7C61" w:rsidRDefault="00CB7C61" w:rsidP="00CB7C61">
            <w:pPr>
              <w:bidi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>يهدف إلى تحقيق المصلحة الخاصة</w:t>
            </w:r>
            <w:r w:rsidRPr="00CB7C61">
              <w:rPr>
                <w:rFonts w:ascii="Calibri" w:eastAsia="Times New Roman" w:hAnsi="Calibri" w:cs="Calibri"/>
                <w:color w:val="000000"/>
                <w:kern w:val="24"/>
                <w:lang w:eastAsia="fr-FR"/>
              </w:rPr>
              <w:t xml:space="preserve"> </w:t>
            </w:r>
          </w:p>
          <w:p w:rsidR="00CB7C61" w:rsidRPr="00CB7C61" w:rsidRDefault="00CB7C61" w:rsidP="00CB7C6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r-FR"/>
              </w:rPr>
            </w:pP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 xml:space="preserve">ج—وإذا نظرنا إلى صفة الأشخاص فإذا كنا أمام أشخاص عاديين أو الدولة أو أحد فروعها لكن دون </w:t>
            </w:r>
            <w:r w:rsidR="00893E17" w:rsidRPr="00CB7C61">
              <w:rPr>
                <w:rFonts w:ascii="Calibri" w:eastAsia="Times New Roman" w:hAnsi="Arial" w:cs="Arial" w:hint="cs"/>
                <w:color w:val="000000"/>
                <w:kern w:val="24"/>
                <w:rtl/>
                <w:lang w:eastAsia="fr-FR"/>
              </w:rPr>
              <w:t>امتيازات</w:t>
            </w:r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 xml:space="preserve"> دون سيادة فنكون أمام القانون الخاص </w:t>
            </w:r>
          </w:p>
        </w:tc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7C61" w:rsidRPr="00CB7C61" w:rsidRDefault="00CB7C61" w:rsidP="00813894">
            <w:pPr>
              <w:bidi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>نوعية أشخاص أطراف العلاقة القانونية:</w:t>
            </w:r>
          </w:p>
          <w:p w:rsidR="00CB7C61" w:rsidRPr="00CB7C61" w:rsidRDefault="00CB7C61" w:rsidP="00813894">
            <w:pPr>
              <w:bidi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 xml:space="preserve">أ-- </w:t>
            </w:r>
            <w:proofErr w:type="gramStart"/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>كلما</w:t>
            </w:r>
            <w:proofErr w:type="gramEnd"/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 xml:space="preserve"> كانت الدولة أو أحد فروعها كالحكومة و</w:t>
            </w:r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 xml:space="preserve"> الولاية </w:t>
            </w: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>و</w:t>
            </w:r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 xml:space="preserve"> البلدية </w:t>
            </w: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>و</w:t>
            </w:r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 xml:space="preserve"> مختلف الإدارات طرفا في العلاقة</w:t>
            </w:r>
          </w:p>
          <w:p w:rsidR="00CB7C61" w:rsidRPr="00CB7C61" w:rsidRDefault="00CB7C61" w:rsidP="00813894">
            <w:pPr>
              <w:bidi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 xml:space="preserve">ب-- </w:t>
            </w:r>
            <w:proofErr w:type="gramStart"/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>طبيعة</w:t>
            </w:r>
            <w:proofErr w:type="gramEnd"/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 xml:space="preserve"> القواعد القانونية كلها آمرة ويحظر </w:t>
            </w:r>
            <w:r w:rsidR="00893E17" w:rsidRPr="00CB7C61">
              <w:rPr>
                <w:rFonts w:ascii="Calibri" w:eastAsia="Times New Roman" w:hAnsi="Arial" w:cs="Arial" w:hint="cs"/>
                <w:color w:val="000000"/>
                <w:kern w:val="24"/>
                <w:rtl/>
                <w:lang w:eastAsia="fr-FR"/>
              </w:rPr>
              <w:t>الاتفاق</w:t>
            </w:r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 xml:space="preserve"> على مخالفتها والهدف من ذلك تحقيق المصلحة العامة</w:t>
            </w:r>
          </w:p>
          <w:p w:rsidR="00CB7C61" w:rsidRPr="00CB7C61" w:rsidRDefault="00CB7C61" w:rsidP="00813894">
            <w:pPr>
              <w:bidi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 xml:space="preserve">ج—لا نكتفي بالنظر إلى </w:t>
            </w:r>
            <w:r w:rsidR="00893E17" w:rsidRPr="00CB7C61">
              <w:rPr>
                <w:rFonts w:ascii="Calibri" w:eastAsia="Times New Roman" w:hAnsi="Arial" w:cs="Arial" w:hint="cs"/>
                <w:color w:val="000000"/>
                <w:kern w:val="24"/>
                <w:rtl/>
                <w:lang w:eastAsia="fr-FR"/>
              </w:rPr>
              <w:t>الأشخاص</w:t>
            </w:r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 xml:space="preserve"> بل نتعداه إلى النظر إلى صفة هؤلاء</w:t>
            </w:r>
            <w:r w:rsidR="00893E17">
              <w:rPr>
                <w:rFonts w:ascii="Calibri" w:eastAsia="Times New Roman" w:hAnsi="Calibri" w:cs="Arial" w:hint="cs"/>
                <w:color w:val="000000"/>
                <w:kern w:val="24"/>
                <w:rtl/>
                <w:lang w:eastAsia="fr-FR"/>
              </w:rPr>
              <w:t xml:space="preserve"> </w:t>
            </w:r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>(</w:t>
            </w:r>
            <w:proofErr w:type="gramStart"/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>أطراف</w:t>
            </w:r>
            <w:proofErr w:type="gramEnd"/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 xml:space="preserve"> العلاقة القانونية)</w:t>
            </w:r>
          </w:p>
          <w:p w:rsidR="00CB7C61" w:rsidRPr="00CB7C61" w:rsidRDefault="00CB7C61" w:rsidP="00813894">
            <w:pPr>
              <w:bidi/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CB7C61">
              <w:rPr>
                <w:rFonts w:ascii="Calibri" w:eastAsia="Times New Roman" w:hAnsi="Arial" w:cs="Arial"/>
                <w:color w:val="000000"/>
                <w:kern w:val="24"/>
                <w:rtl/>
                <w:lang w:eastAsia="fr-FR"/>
              </w:rPr>
              <w:t xml:space="preserve">فكلما كنا أمام علاقة أحد </w:t>
            </w:r>
            <w:r w:rsidR="00893E17" w:rsidRPr="00CB7C61">
              <w:rPr>
                <w:rFonts w:ascii="Calibri" w:eastAsia="Times New Roman" w:hAnsi="Arial" w:cs="Arial" w:hint="cs"/>
                <w:color w:val="000000"/>
                <w:kern w:val="24"/>
                <w:rtl/>
                <w:lang w:eastAsia="fr-FR"/>
              </w:rPr>
              <w:t>ألأطرافها</w:t>
            </w:r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 xml:space="preserve"> الدولة أو أحد فروعها بصفتها صاحبة السيادة (أي </w:t>
            </w:r>
            <w:r w:rsidR="00893E17" w:rsidRPr="00CB7C61">
              <w:rPr>
                <w:rFonts w:ascii="Calibri" w:eastAsia="Times New Roman" w:hAnsi="Arial" w:cs="Arial" w:hint="cs"/>
                <w:color w:val="000000"/>
                <w:kern w:val="24"/>
                <w:rtl/>
                <w:lang w:eastAsia="fr-FR"/>
              </w:rPr>
              <w:t>امتيازات</w:t>
            </w:r>
            <w:r w:rsidRPr="00CB7C61">
              <w:rPr>
                <w:rFonts w:ascii="Calibri" w:eastAsia="Times New Roman" w:hAnsi="Calibri" w:cs="Arial"/>
                <w:color w:val="000000"/>
                <w:kern w:val="24"/>
                <w:rtl/>
                <w:lang w:eastAsia="fr-FR"/>
              </w:rPr>
              <w:t xml:space="preserve"> السلطة العامة) فنكون أمام القانون العام</w:t>
            </w:r>
          </w:p>
        </w:tc>
      </w:tr>
    </w:tbl>
    <w:p w:rsidR="0001176D" w:rsidRDefault="0001176D" w:rsidP="00CB7C61">
      <w:pPr>
        <w:bidi/>
        <w:ind w:left="360"/>
        <w:jc w:val="center"/>
        <w:rPr>
          <w:rFonts w:hint="cs"/>
          <w:sz w:val="28"/>
          <w:szCs w:val="28"/>
          <w:rtl/>
          <w:lang w:bidi="ar-DZ"/>
        </w:rPr>
      </w:pPr>
    </w:p>
    <w:p w:rsidR="00893E17" w:rsidRDefault="00893E17" w:rsidP="00893E17">
      <w:pPr>
        <w:bidi/>
        <w:ind w:left="360"/>
        <w:jc w:val="center"/>
        <w:rPr>
          <w:rFonts w:hint="cs"/>
          <w:sz w:val="28"/>
          <w:szCs w:val="28"/>
          <w:rtl/>
          <w:lang w:bidi="ar-DZ"/>
        </w:rPr>
      </w:pPr>
    </w:p>
    <w:p w:rsidR="00893E17" w:rsidRDefault="00893E17" w:rsidP="00893E17">
      <w:pPr>
        <w:bidi/>
        <w:ind w:left="360"/>
        <w:jc w:val="center"/>
        <w:rPr>
          <w:rFonts w:hint="cs"/>
          <w:sz w:val="28"/>
          <w:szCs w:val="28"/>
          <w:rtl/>
          <w:lang w:bidi="ar-DZ"/>
        </w:rPr>
      </w:pPr>
    </w:p>
    <w:p w:rsidR="00893E17" w:rsidRDefault="00893E17" w:rsidP="00893E17">
      <w:pPr>
        <w:bidi/>
        <w:ind w:left="360"/>
        <w:jc w:val="center"/>
        <w:rPr>
          <w:rFonts w:hint="cs"/>
          <w:sz w:val="28"/>
          <w:szCs w:val="28"/>
          <w:rtl/>
          <w:lang w:bidi="ar-DZ"/>
        </w:rPr>
      </w:pPr>
    </w:p>
    <w:p w:rsidR="00893E17" w:rsidRDefault="00893E17" w:rsidP="00893E17">
      <w:pPr>
        <w:bidi/>
        <w:ind w:left="360"/>
        <w:jc w:val="center"/>
        <w:rPr>
          <w:rFonts w:hint="cs"/>
          <w:sz w:val="28"/>
          <w:szCs w:val="28"/>
          <w:rtl/>
          <w:lang w:bidi="ar-DZ"/>
        </w:rPr>
      </w:pPr>
    </w:p>
    <w:p w:rsidR="00893E17" w:rsidRDefault="00893E17" w:rsidP="00893E17">
      <w:pPr>
        <w:bidi/>
        <w:ind w:left="360"/>
        <w:jc w:val="center"/>
        <w:rPr>
          <w:rFonts w:hint="cs"/>
          <w:sz w:val="28"/>
          <w:szCs w:val="28"/>
          <w:rtl/>
          <w:lang w:bidi="ar-DZ"/>
        </w:rPr>
      </w:pPr>
    </w:p>
    <w:p w:rsidR="00893E17" w:rsidRPr="00CB7C61" w:rsidRDefault="00893E17" w:rsidP="00893E17">
      <w:pPr>
        <w:bidi/>
        <w:ind w:left="360"/>
        <w:jc w:val="center"/>
        <w:rPr>
          <w:sz w:val="28"/>
          <w:szCs w:val="28"/>
          <w:lang w:bidi="ar-DZ"/>
        </w:rPr>
      </w:pPr>
    </w:p>
    <w:tbl>
      <w:tblPr>
        <w:tblW w:w="12960" w:type="dxa"/>
        <w:tblCellMar>
          <w:left w:w="0" w:type="dxa"/>
          <w:right w:w="0" w:type="dxa"/>
        </w:tblCellMar>
        <w:tblLook w:val="04A0"/>
      </w:tblPr>
      <w:tblGrid>
        <w:gridCol w:w="6480"/>
        <w:gridCol w:w="6480"/>
      </w:tblGrid>
      <w:tr w:rsidR="00893E17" w:rsidRPr="00893E17" w:rsidTr="00893E17">
        <w:trPr>
          <w:trHeight w:val="1008"/>
        </w:trPr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176D" w:rsidRPr="00893E17" w:rsidRDefault="00893E17" w:rsidP="00893E17">
            <w:pPr>
              <w:bidi/>
              <w:rPr>
                <w:sz w:val="28"/>
                <w:szCs w:val="28"/>
                <w:lang w:bidi="ar-DZ"/>
              </w:rPr>
            </w:pPr>
            <w:proofErr w:type="gramStart"/>
            <w:r w:rsidRPr="00893E17">
              <w:rPr>
                <w:b/>
                <w:bCs/>
                <w:sz w:val="28"/>
                <w:szCs w:val="28"/>
                <w:rtl/>
                <w:lang w:bidi="ar-DZ"/>
              </w:rPr>
              <w:t>القانون</w:t>
            </w:r>
            <w:proofErr w:type="gramEnd"/>
            <w:r w:rsidRPr="00893E17">
              <w:rPr>
                <w:b/>
                <w:bCs/>
                <w:sz w:val="28"/>
                <w:szCs w:val="28"/>
                <w:rtl/>
                <w:lang w:bidi="ar-DZ"/>
              </w:rPr>
              <w:t xml:space="preserve"> الخاص</w:t>
            </w:r>
            <w:r w:rsidRPr="00893E17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E17" w:rsidRPr="00893E17" w:rsidRDefault="00893E17" w:rsidP="00893E17">
            <w:pPr>
              <w:bidi/>
              <w:rPr>
                <w:sz w:val="28"/>
                <w:szCs w:val="28"/>
                <w:rtl/>
              </w:rPr>
            </w:pPr>
            <w:r w:rsidRPr="00893E17">
              <w:rPr>
                <w:b/>
                <w:bCs/>
                <w:sz w:val="28"/>
                <w:szCs w:val="28"/>
                <w:rtl/>
              </w:rPr>
              <w:t xml:space="preserve">القانون العام </w:t>
            </w:r>
          </w:p>
          <w:p w:rsidR="0001176D" w:rsidRPr="00893E17" w:rsidRDefault="00893E17" w:rsidP="00893E17">
            <w:pPr>
              <w:bidi/>
              <w:rPr>
                <w:sz w:val="28"/>
                <w:szCs w:val="28"/>
                <w:lang w:bidi="ar-DZ"/>
              </w:rPr>
            </w:pPr>
            <w:r w:rsidRPr="00893E17">
              <w:rPr>
                <w:b/>
                <w:bCs/>
                <w:sz w:val="28"/>
                <w:szCs w:val="28"/>
                <w:rtl/>
              </w:rPr>
              <w:t> </w:t>
            </w:r>
            <w:r w:rsidRPr="00893E17"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</w:p>
        </w:tc>
      </w:tr>
      <w:tr w:rsidR="00893E17" w:rsidRPr="00893E17" w:rsidTr="00D11BF5">
        <w:trPr>
          <w:trHeight w:val="4233"/>
        </w:trPr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E17" w:rsidRPr="00893E17" w:rsidRDefault="00893E17" w:rsidP="00893E17">
            <w:pPr>
              <w:bidi/>
              <w:rPr>
                <w:lang w:bidi="ar-DZ"/>
              </w:rPr>
            </w:pPr>
            <w:r w:rsidRPr="00893E17">
              <w:rPr>
                <w:rtl/>
              </w:rPr>
              <w:lastRenderedPageBreak/>
              <w:t>--</w:t>
            </w:r>
            <w:r w:rsidRPr="00893E17">
              <w:rPr>
                <w:b/>
                <w:bCs/>
                <w:rtl/>
              </w:rPr>
              <w:t xml:space="preserve"> لا يتمتع بامتيازات الأشخاص العاديون لأنهم يسعون لتحقيق مصالحهم الخاصة.</w:t>
            </w:r>
            <w:r w:rsidRPr="00893E17">
              <w:rPr>
                <w:b/>
                <w:bCs/>
                <w:rtl/>
                <w:lang w:bidi="ar-DZ"/>
              </w:rPr>
              <w:t xml:space="preserve"> </w:t>
            </w:r>
          </w:p>
          <w:p w:rsidR="00893E17" w:rsidRPr="00893E17" w:rsidRDefault="00893E17" w:rsidP="00893E17">
            <w:pPr>
              <w:bidi/>
              <w:rPr>
                <w:lang w:bidi="ar-DZ"/>
              </w:rPr>
            </w:pPr>
            <w:r w:rsidRPr="00893E17">
              <w:rPr>
                <w:b/>
                <w:bCs/>
                <w:rtl/>
              </w:rPr>
              <w:t>--</w:t>
            </w:r>
            <w:proofErr w:type="gramStart"/>
            <w:r w:rsidRPr="00893E17">
              <w:rPr>
                <w:b/>
                <w:bCs/>
                <w:rtl/>
              </w:rPr>
              <w:t>بينما</w:t>
            </w:r>
            <w:proofErr w:type="gramEnd"/>
            <w:r w:rsidRPr="00893E17">
              <w:rPr>
                <w:b/>
                <w:bCs/>
                <w:rtl/>
              </w:rPr>
              <w:t xml:space="preserve"> في القانون الخاص فإن الأطراف المبرمة للعقد تكون في مراتب متساوية.</w:t>
            </w:r>
            <w:r w:rsidRPr="00893E17">
              <w:rPr>
                <w:b/>
                <w:bCs/>
                <w:rtl/>
                <w:lang w:bidi="ar-DZ"/>
              </w:rPr>
              <w:t xml:space="preserve"> </w:t>
            </w:r>
          </w:p>
          <w:p w:rsidR="00893E17" w:rsidRPr="00893E17" w:rsidRDefault="00893E17" w:rsidP="00893E17">
            <w:pPr>
              <w:bidi/>
              <w:rPr>
                <w:lang w:bidi="ar-DZ"/>
              </w:rPr>
            </w:pPr>
            <w:r w:rsidRPr="00893E17">
              <w:rPr>
                <w:b/>
                <w:bCs/>
                <w:rtl/>
              </w:rPr>
              <w:t>--يجوز التصرف فيه وحجز عليه واكتسابه بالتقادم.</w:t>
            </w:r>
            <w:r w:rsidRPr="00893E17">
              <w:rPr>
                <w:b/>
                <w:bCs/>
                <w:lang w:bidi="ar-DZ"/>
              </w:rPr>
              <w:t xml:space="preserve"> </w:t>
            </w:r>
          </w:p>
          <w:p w:rsidR="0001176D" w:rsidRPr="00893E17" w:rsidRDefault="00893E17" w:rsidP="00893E17">
            <w:pPr>
              <w:bidi/>
              <w:rPr>
                <w:lang w:bidi="ar-DZ"/>
              </w:rPr>
            </w:pPr>
            <w:r w:rsidRPr="00893E17">
              <w:rPr>
                <w:b/>
                <w:bCs/>
                <w:rtl/>
              </w:rPr>
              <w:t>--</w:t>
            </w:r>
            <w:proofErr w:type="gramStart"/>
            <w:r w:rsidRPr="00893E17">
              <w:rPr>
                <w:b/>
                <w:bCs/>
                <w:rtl/>
              </w:rPr>
              <w:t>يعود</w:t>
            </w:r>
            <w:proofErr w:type="gramEnd"/>
            <w:r w:rsidRPr="00893E17">
              <w:rPr>
                <w:b/>
                <w:bCs/>
                <w:rtl/>
              </w:rPr>
              <w:t xml:space="preserve"> اختصاص القضائي بالنظر في المنازعات التي تكون بين الأشخاص العاديين بشكل عام (</w:t>
            </w:r>
            <w:proofErr w:type="spellStart"/>
            <w:r w:rsidRPr="00893E17">
              <w:rPr>
                <w:b/>
                <w:bCs/>
                <w:rtl/>
              </w:rPr>
              <w:t>ال</w:t>
            </w:r>
            <w:proofErr w:type="spellEnd"/>
            <w:r w:rsidRPr="00893E17">
              <w:rPr>
                <w:b/>
                <w:bCs/>
                <w:rtl/>
                <w:lang w:bidi="ar-DZ"/>
              </w:rPr>
              <w:t>ق</w:t>
            </w:r>
            <w:proofErr w:type="spellStart"/>
            <w:r w:rsidRPr="00893E17">
              <w:rPr>
                <w:b/>
                <w:bCs/>
                <w:rtl/>
              </w:rPr>
              <w:t>ضاء</w:t>
            </w:r>
            <w:proofErr w:type="spellEnd"/>
            <w:r w:rsidRPr="00893E17">
              <w:rPr>
                <w:b/>
                <w:bCs/>
                <w:rtl/>
              </w:rPr>
              <w:t xml:space="preserve"> العادي)</w:t>
            </w:r>
            <w:r w:rsidRPr="00893E17">
              <w:rPr>
                <w:b/>
                <w:bCs/>
                <w:rtl/>
                <w:lang w:bidi="ar-DZ"/>
              </w:rPr>
              <w:t>.</w:t>
            </w:r>
            <w:r w:rsidRPr="00893E17">
              <w:rPr>
                <w:b/>
                <w:bCs/>
                <w:lang w:bidi="ar-DZ"/>
              </w:rPr>
              <w:t xml:space="preserve"> </w:t>
            </w:r>
          </w:p>
        </w:tc>
        <w:tc>
          <w:tcPr>
            <w:tcW w:w="6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3E17" w:rsidRPr="00893E17" w:rsidRDefault="00893E17" w:rsidP="00893E17">
            <w:pPr>
              <w:bidi/>
              <w:rPr>
                <w:rtl/>
              </w:rPr>
            </w:pPr>
            <w:r w:rsidRPr="00893E17">
              <w:rPr>
                <w:rtl/>
              </w:rPr>
              <w:t>*</w:t>
            </w:r>
            <w:r w:rsidRPr="00893E17">
              <w:rPr>
                <w:b/>
                <w:bCs/>
                <w:rtl/>
              </w:rPr>
              <w:t>تتمتع السلطات بامتيازات خاصة ----بهدف تحقيق المصلحة العامة</w:t>
            </w:r>
            <w:r w:rsidRPr="00893E17">
              <w:rPr>
                <w:b/>
                <w:bCs/>
                <w:lang w:bidi="ar-DZ"/>
              </w:rPr>
              <w:t xml:space="preserve"> </w:t>
            </w:r>
          </w:p>
          <w:p w:rsidR="00893E17" w:rsidRPr="00893E17" w:rsidRDefault="00893E17" w:rsidP="00893E17">
            <w:pPr>
              <w:bidi/>
              <w:rPr>
                <w:lang w:bidi="ar-DZ"/>
              </w:rPr>
            </w:pPr>
            <w:r w:rsidRPr="00893E17">
              <w:rPr>
                <w:b/>
                <w:bCs/>
                <w:rtl/>
              </w:rPr>
              <w:t xml:space="preserve">مثال نظام الخدمة </w:t>
            </w:r>
            <w:proofErr w:type="gramStart"/>
            <w:r w:rsidRPr="00893E17">
              <w:rPr>
                <w:b/>
                <w:bCs/>
                <w:rtl/>
              </w:rPr>
              <w:t>الوطنية ،</w:t>
            </w:r>
            <w:proofErr w:type="gramEnd"/>
            <w:r w:rsidRPr="00893E17">
              <w:rPr>
                <w:b/>
                <w:bCs/>
                <w:rtl/>
              </w:rPr>
              <w:t xml:space="preserve"> الضرائب ، نزع الملكية....</w:t>
            </w:r>
            <w:r w:rsidRPr="00893E17">
              <w:rPr>
                <w:b/>
                <w:bCs/>
                <w:rtl/>
                <w:lang w:bidi="ar-DZ"/>
              </w:rPr>
              <w:t xml:space="preserve"> </w:t>
            </w:r>
          </w:p>
          <w:p w:rsidR="00893E17" w:rsidRPr="00893E17" w:rsidRDefault="00893E17" w:rsidP="00893E17">
            <w:pPr>
              <w:bidi/>
              <w:rPr>
                <w:lang w:bidi="ar-DZ"/>
              </w:rPr>
            </w:pPr>
            <w:r w:rsidRPr="00893E17">
              <w:rPr>
                <w:b/>
                <w:bCs/>
                <w:rtl/>
              </w:rPr>
              <w:t>-</w:t>
            </w:r>
            <w:proofErr w:type="gramStart"/>
            <w:r w:rsidRPr="00893E17">
              <w:rPr>
                <w:b/>
                <w:bCs/>
                <w:rtl/>
              </w:rPr>
              <w:t>العقود</w:t>
            </w:r>
            <w:proofErr w:type="gramEnd"/>
            <w:r w:rsidRPr="00893E17">
              <w:rPr>
                <w:b/>
                <w:bCs/>
                <w:rtl/>
              </w:rPr>
              <w:t xml:space="preserve"> التي تبرمها الدولة أو أحد فروعها باعتبارها صاحبة</w:t>
            </w:r>
            <w:r w:rsidRPr="00893E17">
              <w:rPr>
                <w:b/>
                <w:bCs/>
                <w:lang w:bidi="ar-DZ"/>
              </w:rPr>
              <w:t xml:space="preserve"> </w:t>
            </w:r>
            <w:r w:rsidRPr="00893E17">
              <w:rPr>
                <w:b/>
                <w:bCs/>
                <w:rtl/>
              </w:rPr>
              <w:t>السيادة تسمى عقودا إدارية(تكون السلطات العامة المبرمة لها في مركز أعلى من الأشخاص العاديين لها حق التعديل و إلغاء وفسخ العقد.</w:t>
            </w:r>
            <w:r w:rsidRPr="00893E17">
              <w:rPr>
                <w:b/>
                <w:bCs/>
                <w:rtl/>
                <w:lang w:bidi="ar-DZ"/>
              </w:rPr>
              <w:t xml:space="preserve"> </w:t>
            </w:r>
          </w:p>
          <w:p w:rsidR="00893E17" w:rsidRPr="00893E17" w:rsidRDefault="00893E17" w:rsidP="00893E17">
            <w:pPr>
              <w:bidi/>
              <w:rPr>
                <w:lang w:bidi="ar-DZ"/>
              </w:rPr>
            </w:pPr>
            <w:r w:rsidRPr="00893E17">
              <w:rPr>
                <w:b/>
                <w:bCs/>
                <w:rtl/>
              </w:rPr>
              <w:t>--عدم جواز التصرف فيه و لا الحجز عليه واكتسابه بالتقادم.</w:t>
            </w:r>
            <w:r w:rsidRPr="00893E17">
              <w:rPr>
                <w:b/>
                <w:bCs/>
                <w:rtl/>
                <w:lang w:bidi="ar-DZ"/>
              </w:rPr>
              <w:t xml:space="preserve"> </w:t>
            </w:r>
          </w:p>
          <w:p w:rsidR="00893E17" w:rsidRPr="00893E17" w:rsidRDefault="00893E17" w:rsidP="00893E17">
            <w:pPr>
              <w:bidi/>
              <w:rPr>
                <w:lang w:bidi="ar-DZ"/>
              </w:rPr>
            </w:pPr>
            <w:r w:rsidRPr="00893E17">
              <w:rPr>
                <w:b/>
                <w:bCs/>
                <w:rtl/>
              </w:rPr>
              <w:t>--</w:t>
            </w:r>
            <w:proofErr w:type="gramStart"/>
            <w:r w:rsidRPr="00893E17">
              <w:rPr>
                <w:b/>
                <w:bCs/>
                <w:rtl/>
              </w:rPr>
              <w:t>يعود</w:t>
            </w:r>
            <w:proofErr w:type="gramEnd"/>
            <w:r w:rsidRPr="00893E17">
              <w:rPr>
                <w:b/>
                <w:bCs/>
                <w:rtl/>
              </w:rPr>
              <w:t xml:space="preserve"> اختصاص القضائي للنظر في المنازعات التي تكون الدولة أحد فروعها طرفا فيها إلى القضاء الإداري</w:t>
            </w:r>
            <w:r w:rsidRPr="00893E17">
              <w:rPr>
                <w:b/>
                <w:bCs/>
                <w:lang w:bidi="ar-DZ"/>
              </w:rPr>
              <w:t xml:space="preserve"> </w:t>
            </w:r>
          </w:p>
          <w:p w:rsidR="00893E17" w:rsidRPr="00893E17" w:rsidRDefault="00893E17" w:rsidP="00893E17">
            <w:pPr>
              <w:bidi/>
              <w:rPr>
                <w:lang w:bidi="ar-DZ"/>
              </w:rPr>
            </w:pPr>
            <w:r w:rsidRPr="00893E17">
              <w:rPr>
                <w:b/>
                <w:bCs/>
                <w:rtl/>
              </w:rPr>
              <w:t> </w:t>
            </w:r>
            <w:r w:rsidRPr="00893E17">
              <w:rPr>
                <w:b/>
                <w:bCs/>
                <w:lang w:bidi="ar-DZ"/>
              </w:rPr>
              <w:t xml:space="preserve"> </w:t>
            </w:r>
          </w:p>
          <w:p w:rsidR="00893E17" w:rsidRPr="00893E17" w:rsidRDefault="00893E17" w:rsidP="00893E17">
            <w:pPr>
              <w:bidi/>
              <w:rPr>
                <w:lang w:bidi="ar-DZ"/>
              </w:rPr>
            </w:pPr>
            <w:r w:rsidRPr="00893E17">
              <w:rPr>
                <w:rtl/>
              </w:rPr>
              <w:t> </w:t>
            </w:r>
            <w:r w:rsidRPr="00893E17">
              <w:rPr>
                <w:lang w:bidi="ar-DZ"/>
              </w:rPr>
              <w:t xml:space="preserve"> </w:t>
            </w:r>
          </w:p>
          <w:p w:rsidR="0001176D" w:rsidRPr="00893E17" w:rsidRDefault="00893E17" w:rsidP="00893E17">
            <w:pPr>
              <w:bidi/>
              <w:rPr>
                <w:lang w:bidi="ar-DZ"/>
              </w:rPr>
            </w:pPr>
            <w:r w:rsidRPr="00893E17">
              <w:rPr>
                <w:rtl/>
              </w:rPr>
              <w:t> </w:t>
            </w:r>
            <w:r w:rsidRPr="00893E17">
              <w:rPr>
                <w:lang w:bidi="ar-DZ"/>
              </w:rPr>
              <w:t xml:space="preserve"> </w:t>
            </w:r>
          </w:p>
        </w:tc>
      </w:tr>
    </w:tbl>
    <w:p w:rsidR="00CB7C61" w:rsidRPr="00893E17" w:rsidRDefault="00CB7C61" w:rsidP="00CB7C61">
      <w:pPr>
        <w:bidi/>
        <w:rPr>
          <w:rFonts w:hint="cs"/>
          <w:sz w:val="28"/>
          <w:szCs w:val="28"/>
          <w:rtl/>
          <w:lang w:bidi="ar-DZ"/>
        </w:rPr>
      </w:pPr>
    </w:p>
    <w:sectPr w:rsidR="00CB7C61" w:rsidRPr="00893E17" w:rsidSect="0003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A0E"/>
    <w:multiLevelType w:val="hybridMultilevel"/>
    <w:tmpl w:val="2A3454D4"/>
    <w:lvl w:ilvl="0" w:tplc="A9F6A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83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E8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CC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CD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87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4C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CC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77B9"/>
    <w:rsid w:val="0001176D"/>
    <w:rsid w:val="00033989"/>
    <w:rsid w:val="00606B31"/>
    <w:rsid w:val="006D77B9"/>
    <w:rsid w:val="00813894"/>
    <w:rsid w:val="00893E17"/>
    <w:rsid w:val="00AB12DE"/>
    <w:rsid w:val="00CB7C61"/>
    <w:rsid w:val="00D11BF5"/>
    <w:rsid w:val="00DE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8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22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2024-12-14T11:05:00Z</dcterms:created>
  <dcterms:modified xsi:type="dcterms:W3CDTF">2024-12-14T23:53:00Z</dcterms:modified>
</cp:coreProperties>
</file>