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Lign de transm et guid d’ondes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KAMECHE.S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MERZOUGUI.R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respe des norm et des régl d'éthi et d'inté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d’images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Compression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ABDELMALEK.A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numérique du signal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IRID.S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Codage et Compression
                <w:br/>
                TP Traitement numérique du signal    
          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BOUABDALLAH.R
                <w:br/>
                <w:br/>
                BOUSAHLA.M    
          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LABINFB23 
                <w:br/>
                LLOG2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Lign de transm et guid d’ondes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KAMECHE.S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Compression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ABDELMALEK.A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numérique du signal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IRID.S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Codage et Compression
                <w:br/>
                TP Traitement numérique du signal    
          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BOUABDALLAH.R
                <w:br/>
                <w:br/>
                BOUSAHLA.M    
          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LABINFB23 
                <w:br/>
                LLOG2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MERZOUGUI.R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LABINFA10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Lign de transm et guid d’ondes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KAMECHE.S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Antennes, lignes de transmissions et guides d’ondes
                <w:br/>
                Traitement d’images    
          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BELGACEM.N
                <w:br/>
                <w:br/>
                BOUCHENAK KHELLADI.Y
                <w:br/>
                ATMANI.R    
          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DSPFPGA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MERZOUGUI.R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Antennes, lignes de transmissions et guides d’ondes
                <w:br/>
                Traitement d’images    
          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BELGACEM.N
                <w:br/>
                <w:br/>
                BOUCHENAK KHELLADI.Y
                <w:br/>
                ATMANI.R    
          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DSPFPGA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numérique du signal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IRID.S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